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5C7A" w14:textId="77777777" w:rsidR="00C71BB9" w:rsidRPr="00C71BB9" w:rsidRDefault="00C71BB9" w:rsidP="00571FB8">
      <w:pPr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C71BB9">
        <w:rPr>
          <w:rFonts w:ascii="Times New Roman" w:hAnsi="Times New Roman" w:cs="Times New Roman"/>
          <w:b/>
          <w:sz w:val="30"/>
          <w:szCs w:val="30"/>
          <w:lang w:val="en-GB"/>
        </w:rPr>
        <w:t>REQUIREMENTS FOR DISCIPLINE EXAMS: MATHEMATICS</w:t>
      </w:r>
      <w:r w:rsidR="00571FB8" w:rsidRPr="00C71BB9">
        <w:rPr>
          <w:rFonts w:ascii="Times New Roman" w:hAnsi="Times New Roman" w:cs="Times New Roman"/>
          <w:b/>
          <w:sz w:val="30"/>
          <w:szCs w:val="30"/>
          <w:lang w:val="en-GB"/>
        </w:rPr>
        <w:t xml:space="preserve"> </w:t>
      </w:r>
    </w:p>
    <w:p w14:paraId="4350B1DB" w14:textId="74D22914" w:rsidR="00571FB8" w:rsidRPr="00C71BB9" w:rsidRDefault="00C71BB9" w:rsidP="00571FB8">
      <w:pPr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C71BB9">
        <w:rPr>
          <w:rFonts w:ascii="Times New Roman" w:hAnsi="Times New Roman" w:cs="Times New Roman"/>
          <w:b/>
          <w:sz w:val="30"/>
          <w:szCs w:val="30"/>
          <w:lang w:val="en-GB"/>
        </w:rPr>
        <w:t>FOR DOCTORAL SCHOOL STUDENTS</w:t>
      </w:r>
    </w:p>
    <w:p w14:paraId="406CDA13" w14:textId="2AF6D3E2" w:rsidR="00B03573" w:rsidRPr="00C71BB9" w:rsidRDefault="00B03573" w:rsidP="00571FB8">
      <w:pPr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</w:p>
    <w:p w14:paraId="5A2B5BCB" w14:textId="45DE6801" w:rsidR="00B03573" w:rsidRPr="00C71BB9" w:rsidRDefault="00C71BB9" w:rsidP="00571FB8">
      <w:pPr>
        <w:jc w:val="center"/>
        <w:rPr>
          <w:rFonts w:ascii="Times New Roman" w:hAnsi="Times New Roman" w:cs="Times New Roman"/>
          <w:bCs/>
          <w:sz w:val="18"/>
          <w:szCs w:val="18"/>
          <w:lang w:val="en-GB"/>
        </w:rPr>
      </w:pPr>
      <w:r w:rsidRPr="00C71BB9">
        <w:rPr>
          <w:rFonts w:ascii="Times New Roman" w:hAnsi="Times New Roman" w:cs="Times New Roman"/>
          <w:bCs/>
          <w:sz w:val="18"/>
          <w:szCs w:val="18"/>
          <w:lang w:val="en-GB"/>
        </w:rPr>
        <w:t>The enclosed list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>s</w:t>
      </w:r>
      <w:r w:rsidRPr="00C71BB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of topics and literature are indicative only. The examination commi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>ssion</w:t>
      </w:r>
      <w:r w:rsidRPr="00C71BB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(examiners), in consultation with the supervisor, determine the detailed scope of the 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>discipline</w:t>
      </w:r>
      <w:r w:rsidRPr="00C71BB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exam and the literature 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>relevant for</w:t>
      </w:r>
      <w:r w:rsidRPr="00C71BB9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this exam, of which the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r w:rsidRPr="00C71BB9">
        <w:rPr>
          <w:rFonts w:ascii="Times New Roman" w:hAnsi="Times New Roman" w:cs="Times New Roman"/>
          <w:bCs/>
          <w:sz w:val="18"/>
          <w:szCs w:val="18"/>
          <w:lang w:val="en-GB"/>
        </w:rPr>
        <w:t>doctoral student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is informed</w:t>
      </w:r>
      <w:r w:rsidRPr="00C71BB9"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</w:p>
    <w:p w14:paraId="09C3F4CE" w14:textId="77777777" w:rsidR="009005ED" w:rsidRPr="00C71BB9" w:rsidRDefault="009005ED" w:rsidP="001815C0">
      <w:pPr>
        <w:spacing w:after="0" w:line="240" w:lineRule="auto"/>
        <w:rPr>
          <w:lang w:val="en-GB"/>
        </w:rPr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AB5A92" w:rsidRPr="009005ED" w14:paraId="53FC0835" w14:textId="77777777" w:rsidTr="001815C0">
        <w:trPr>
          <w:trHeight w:val="650"/>
          <w:jc w:val="center"/>
        </w:trPr>
        <w:tc>
          <w:tcPr>
            <w:tcW w:w="10485" w:type="dxa"/>
            <w:shd w:val="clear" w:color="auto" w:fill="D0CECE" w:themeFill="background2" w:themeFillShade="E6"/>
            <w:vAlign w:val="center"/>
          </w:tcPr>
          <w:p w14:paraId="3D9338EF" w14:textId="004129D9" w:rsidR="009005ED" w:rsidRPr="009005ED" w:rsidRDefault="00C71BB9" w:rsidP="00C71BB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  <w:r w:rsidR="00AB5A92" w:rsidRPr="009005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5A92" w:rsidRPr="00A56D01" w14:paraId="4EDFB383" w14:textId="77777777" w:rsidTr="001815C0">
        <w:trPr>
          <w:trHeight w:val="70"/>
          <w:jc w:val="center"/>
        </w:trPr>
        <w:tc>
          <w:tcPr>
            <w:tcW w:w="10485" w:type="dxa"/>
          </w:tcPr>
          <w:p w14:paraId="06D3BBDD" w14:textId="693F5F51" w:rsidR="00AB5A92" w:rsidRPr="00C20D80" w:rsidRDefault="00620A15" w:rsidP="00571FB8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Problem </w:t>
            </w:r>
            <w:proofErr w:type="spellStart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solving</w:t>
            </w:r>
            <w:proofErr w:type="spellEnd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strategies</w:t>
            </w:r>
            <w:proofErr w:type="spellEnd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examples</w:t>
            </w:r>
            <w:proofErr w:type="spellEnd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3DAC243" w14:textId="22253058" w:rsidR="00AB5A92" w:rsidRPr="00C20D80" w:rsidRDefault="00620A1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Functional equations and inequalities, what next?</w:t>
            </w:r>
          </w:p>
          <w:p w14:paraId="7A5B47EC" w14:textId="07BC722B" w:rsidR="00AB5A92" w:rsidRPr="00C20D80" w:rsidRDefault="00620A1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Well-known Hilbert’s problems.</w:t>
            </w:r>
          </w:p>
          <w:p w14:paraId="1AE322CC" w14:textId="6374990F" w:rsidR="00AB5A92" w:rsidRPr="00C20D80" w:rsidRDefault="00620A1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Graphs and their applications in various fields of mathematics.</w:t>
            </w:r>
          </w:p>
          <w:p w14:paraId="39F1DF8D" w14:textId="5A64ED68" w:rsidR="00C20D80" w:rsidRPr="00C20D80" w:rsidRDefault="00620A15" w:rsidP="00C20D8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Dirac’s Conjecture, Weak Dirac’s Conjecture, Green-Tao Theorem, A short proof of </w:t>
            </w:r>
            <w:r w:rsidR="00C20D80"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</w:t>
            </w: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Weak Dirac’s Conjecture for point configurations in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auto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color w:val="auto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  <w:r w:rsid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0FEDD627" w14:textId="6CC317B2" w:rsidR="00AB5A92" w:rsidRPr="00620A15" w:rsidRDefault="00C20D80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T</w:t>
            </w: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he </w:t>
            </w:r>
            <w:proofErr w:type="spellStart"/>
            <w:r w:rsidR="00620A15"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Collatz-Ulam</w:t>
            </w:r>
            <w:proofErr w:type="spellEnd"/>
            <w:r w:rsidR="00620A15"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problem in terms of stochastic methods and dynamical systems.</w:t>
            </w:r>
          </w:p>
          <w:p w14:paraId="323D418D" w14:textId="739431B7" w:rsidR="00AB5A92" w:rsidRPr="00C20D80" w:rsidRDefault="00C20D80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</w:t>
            </w:r>
            <w:r w:rsidR="00620A15"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Riemann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Hypothesis</w:t>
            </w:r>
            <w:proofErr w:type="spellEnd"/>
            <w:r w:rsidR="00620A15"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3089E94" w14:textId="17442F1F" w:rsidR="00AB5A92" w:rsidRPr="00C20D80" w:rsidRDefault="00620A1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Fermat </w:t>
            </w:r>
            <w:proofErr w:type="spellStart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Last</w:t>
            </w:r>
            <w:proofErr w:type="spellEnd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Theorem</w:t>
            </w:r>
            <w:proofErr w:type="spellEnd"/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CB8843C" w14:textId="2DD072A2" w:rsidR="00AB5A92" w:rsidRPr="00C20D80" w:rsidRDefault="00620A1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Selected similarities and differences between the notions of measure and category.</w:t>
            </w:r>
          </w:p>
          <w:p w14:paraId="3DB5BE00" w14:textId="30CA776F" w:rsidR="00AB5A92" w:rsidRPr="00620A15" w:rsidRDefault="00620A1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20D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Characterization of extreme problems in the theory of point and line configurations.</w:t>
            </w:r>
          </w:p>
          <w:p w14:paraId="0046D56E" w14:textId="1884CBB2" w:rsidR="00AB5A92" w:rsidRPr="00EF7480" w:rsidRDefault="00620A1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Hirzebruch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-type inequalit</w:t>
            </w:r>
            <w:r w:rsidR="00A33893"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es and their consequences in extreme prob</w:t>
            </w:r>
            <w:r w:rsidR="00A33893"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</w:t>
            </w: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ems in combinatorics.</w:t>
            </w:r>
          </w:p>
          <w:p w14:paraId="38767EC1" w14:textId="39872489" w:rsidR="00AB5A92" w:rsidRPr="00A33893" w:rsidRDefault="00A33893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Selected models of </w:t>
            </w: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non-euclidean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geometries.</w:t>
            </w:r>
          </w:p>
          <w:p w14:paraId="34E988E2" w14:textId="10917071" w:rsidR="00AB5A92" w:rsidRPr="00EF7480" w:rsidRDefault="00A33893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golden ratio in geometry.</w:t>
            </w:r>
          </w:p>
          <w:p w14:paraId="7E3514FF" w14:textId="36935C45" w:rsidR="00AB5A92" w:rsidRPr="00EF7480" w:rsidRDefault="00CB4F0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How to arrange and evaluate projects?</w:t>
            </w:r>
          </w:p>
          <w:p w14:paraId="5573851A" w14:textId="4E4785E7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Inductive and deductive methods in teaching mathematics.</w:t>
            </w:r>
          </w:p>
          <w:p w14:paraId="4BC62A0F" w14:textId="28E8C9A8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How to do math? What is the job of a mathematician?</w:t>
            </w:r>
          </w:p>
          <w:p w14:paraId="0C4865B5" w14:textId="058D0A9A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74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Variety</w:t>
            </w:r>
            <w:proofErr w:type="spellEnd"/>
            <w:r w:rsidRPr="00EF74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of </w:t>
            </w:r>
            <w:proofErr w:type="spellStart"/>
            <w:r w:rsidRPr="00EF74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mathematical</w:t>
            </w:r>
            <w:proofErr w:type="spellEnd"/>
            <w:r w:rsidRPr="00EF74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4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experience</w:t>
            </w:r>
            <w:proofErr w:type="spellEnd"/>
            <w:r w:rsidRPr="00EF748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14:paraId="50728594" w14:textId="0EDC5DE3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Why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mathematics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useful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547B5AC7" w14:textId="370A79D3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Pure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versus applied </w:t>
            </w: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mathematics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B56603C" w14:textId="1112C763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Philosophical difficulties of an active mathematician.</w:t>
            </w:r>
          </w:p>
          <w:p w14:paraId="5BB68C67" w14:textId="1877D172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Nonstandard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analysis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5352483" w14:textId="1B99911B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Experiment </w:t>
            </w:r>
            <w:r w:rsidR="00EF7480"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versus </w:t>
            </w: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proof in mathematics - methodology and examples.</w:t>
            </w:r>
          </w:p>
          <w:p w14:paraId="62C667F1" w14:textId="6D6074C0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 xml:space="preserve">Classical primality tests of natural numbers based on </w:t>
            </w: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congruences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.</w:t>
            </w:r>
          </w:p>
          <w:p w14:paraId="708E64C9" w14:textId="6E85A7CF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Fermat and </w:t>
            </w:r>
            <w:proofErr w:type="spellStart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Mersenne</w:t>
            </w:r>
            <w:proofErr w:type="spellEnd"/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numbers, prime factorizations and public-key cryptography.</w:t>
            </w:r>
          </w:p>
          <w:p w14:paraId="21BD63DD" w14:textId="18838FE3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Jordan measure of a set: definition, family of measurable sets, uniqueness, invariance, measure of an elementary figure, measure of similar figures, relations between the Jordan measure and the Riemann integral.</w:t>
            </w:r>
          </w:p>
          <w:p w14:paraId="79ACDE0A" w14:textId="5704DC11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Geometry models over non-Archimedean field</w:t>
            </w:r>
            <w:r w:rsid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</w:t>
            </w: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77CF0DC8" w14:textId="707B5695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Hilbert's axioms versus Euclid's axioms.</w:t>
            </w:r>
          </w:p>
          <w:p w14:paraId="5D509E13" w14:textId="46B58D3C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Axioms of the set theory, including the role of the axiom of choice.</w:t>
            </w:r>
          </w:p>
          <w:p w14:paraId="78CD38CF" w14:textId="3DF8216C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Basic concepts of the category theory.</w:t>
            </w:r>
          </w:p>
          <w:p w14:paraId="74094B57" w14:textId="381B9B5D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Basic problems in model theory, including consistency, completeness and decidability.</w:t>
            </w:r>
          </w:p>
          <w:p w14:paraId="239C4969" w14:textId="16241448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Selected topics of real analysis and functional analysis.</w:t>
            </w:r>
          </w:p>
          <w:p w14:paraId="3DB8FDE9" w14:textId="012ACB4D" w:rsidR="00AB5A92" w:rsidRPr="00EF7480" w:rsidRDefault="0065609F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EF7480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Smooth curves and smooth surfaces.</w:t>
            </w:r>
          </w:p>
          <w:p w14:paraId="7CF1B965" w14:textId="61C604D7" w:rsidR="00AB5A92" w:rsidRPr="00A56D01" w:rsidRDefault="00522FE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Local geometry of smooth surfaces.</w:t>
            </w:r>
          </w:p>
          <w:p w14:paraId="60624B27" w14:textId="7B90605E" w:rsidR="00AB5A92" w:rsidRPr="00522FE5" w:rsidRDefault="00522FE5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Discrete</w:t>
            </w:r>
            <w:proofErr w:type="spellEnd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stochastic</w:t>
            </w:r>
            <w:proofErr w:type="spellEnd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processes</w:t>
            </w:r>
            <w:proofErr w:type="spellEnd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5EA13ED" w14:textId="6CCDEACF" w:rsidR="00AB5A92" w:rsidRPr="00A56D01" w:rsidRDefault="001C0C70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Continuous</w:t>
            </w:r>
            <w:proofErr w:type="spellEnd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stochastic</w:t>
            </w:r>
            <w:proofErr w:type="spellEnd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processes</w:t>
            </w:r>
            <w:proofErr w:type="spellEnd"/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00B2F21" w14:textId="153865E5" w:rsidR="00AB5A92" w:rsidRPr="00A56D01" w:rsidRDefault="001C0C70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Psychological and mathematical thinking processes.</w:t>
            </w:r>
          </w:p>
          <w:p w14:paraId="781C027D" w14:textId="5D6645B2" w:rsidR="00AB5A92" w:rsidRPr="00A56D01" w:rsidRDefault="001C0C70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Selected aspects of the </w:t>
            </w:r>
            <w:r w:rsidR="00A56D01" w:rsidRPr="00A56D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process of   learning and teaching mathematics</w:t>
            </w:r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  <w:p w14:paraId="65987F34" w14:textId="378CB0F1" w:rsidR="00AB5A92" w:rsidRPr="00A56D01" w:rsidRDefault="001C0C70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role of exemplary facts and activities specific to mathematics.</w:t>
            </w:r>
          </w:p>
          <w:p w14:paraId="2654C93B" w14:textId="2B6CE5AB" w:rsidR="00AB5A92" w:rsidRPr="00A56D01" w:rsidRDefault="00A33893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Different methods used to localize the spectrum of matrices.</w:t>
            </w:r>
          </w:p>
          <w:p w14:paraId="1DB8A005" w14:textId="0BB39BFA" w:rsidR="00AB5A92" w:rsidRPr="00A56D01" w:rsidRDefault="00A33893" w:rsidP="001815C0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56D01"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  <w:t>Mathematical models – introduction, methods, and selected topics.</w:t>
            </w:r>
          </w:p>
        </w:tc>
      </w:tr>
      <w:tr w:rsidR="00AB5A92" w:rsidRPr="00C71BB9" w14:paraId="69586EBE" w14:textId="77777777" w:rsidTr="00CE3D34">
        <w:trPr>
          <w:cantSplit/>
          <w:jc w:val="center"/>
        </w:trPr>
        <w:tc>
          <w:tcPr>
            <w:tcW w:w="10485" w:type="dxa"/>
            <w:shd w:val="clear" w:color="auto" w:fill="C9C9C9" w:themeFill="accent3" w:themeFillTint="99"/>
          </w:tcPr>
          <w:p w14:paraId="76F67E4E" w14:textId="3D8D9D76" w:rsidR="00C71BB9" w:rsidRPr="00C71BB9" w:rsidRDefault="001815C0" w:rsidP="00A56D01">
            <w:pPr>
              <w:spacing w:before="240" w:after="24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20D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LITERATUR</w:t>
            </w:r>
            <w:r w:rsidR="00C71BB9" w:rsidRPr="00C20D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C20D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C20D80" w:rsidRPr="00C20D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</w:t>
            </w:r>
            <w:r w:rsidR="00C71BB9" w:rsidRP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ote that </w:t>
            </w:r>
            <w:r w:rsidR="00C20D80" w:rsidRP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for </w:t>
            </w:r>
            <w:r w:rsidR="00C71BB9" w:rsidRP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some of the Polish titles </w:t>
            </w:r>
            <w:r w:rsidR="00C20D80" w:rsidRP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below their original </w:t>
            </w:r>
            <w:r w:rsidR="00C71BB9" w:rsidRP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English versions </w:t>
            </w:r>
            <w:r w:rsidR="00C20D80" w:rsidRP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are </w:t>
            </w:r>
            <w:r w:rsid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also </w:t>
            </w:r>
            <w:bookmarkStart w:id="0" w:name="_GoBack"/>
            <w:bookmarkEnd w:id="0"/>
            <w:r w:rsidR="00C20D80" w:rsidRPr="00A56D0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available.</w:t>
            </w:r>
          </w:p>
        </w:tc>
      </w:tr>
      <w:tr w:rsidR="00AB5A92" w:rsidRPr="00C71BB9" w14:paraId="5461544E" w14:textId="77777777" w:rsidTr="00CE3D34">
        <w:trPr>
          <w:cantSplit/>
          <w:jc w:val="center"/>
        </w:trPr>
        <w:tc>
          <w:tcPr>
            <w:tcW w:w="10485" w:type="dxa"/>
          </w:tcPr>
          <w:p w14:paraId="009D6B55" w14:textId="77777777" w:rsidR="00AB5A92" w:rsidRPr="00C71BB9" w:rsidRDefault="00AB5A92" w:rsidP="009005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2B5C78" w14:textId="77777777" w:rsidR="00AB5A92" w:rsidRPr="00C20D80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M. </w:t>
            </w:r>
            <w:proofErr w:type="spellStart"/>
            <w:r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Aign</w:t>
            </w:r>
            <w:r w:rsidR="002144B8"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</w:t>
            </w:r>
            <w:proofErr w:type="spellEnd"/>
            <w:r w:rsidR="00E9483E"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G. M. Ziegler, </w:t>
            </w:r>
            <w:proofErr w:type="spellStart"/>
            <w:r w:rsidR="00E9483E"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Dowody</w:t>
            </w:r>
            <w:proofErr w:type="spellEnd"/>
            <w:r w:rsidR="00E9483E"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144B8"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z </w:t>
            </w:r>
            <w:proofErr w:type="spellStart"/>
            <w:r w:rsidR="002144B8"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Księ</w:t>
            </w:r>
            <w:r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</w:t>
            </w:r>
            <w:proofErr w:type="spellEnd"/>
            <w:r w:rsidRPr="00C20D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PWN, Warszawa 2002.</w:t>
            </w:r>
          </w:p>
          <w:p w14:paraId="4487311A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Alder, An Introduction to Mathematical Modelling, </w:t>
            </w:r>
            <w:r w:rsidRPr="009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HeavenForBooks</w:t>
            </w: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.com, 2001.</w:t>
            </w:r>
          </w:p>
          <w:p w14:paraId="117378B2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Borwein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 Bailey, Mathematics by experiment: Plausible Reasoning in the 21st Century, AK Peters, Natick 2004.</w:t>
            </w:r>
          </w:p>
          <w:p w14:paraId="15E9EFFA" w14:textId="77777777" w:rsidR="00AB5A92" w:rsidRPr="00D32547" w:rsidRDefault="00AB5A92" w:rsidP="00D3254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Carlson, A. Jaffe, A. Wiles (Eds.), The millennium prize problems, AMS, Providence, Rhode Island,</w:t>
            </w:r>
            <w:r w:rsid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Clay Mathematics Institute, Cambridge, Massachusetts, 2006.</w:t>
            </w:r>
          </w:p>
          <w:p w14:paraId="4AA7FCD9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P. do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Differential Geometry of Curves and Surfaces, Prentice Hall, 1976.</w:t>
            </w:r>
          </w:p>
          <w:p w14:paraId="299BDF0F" w14:textId="77777777" w:rsidR="00AB5A92" w:rsidRPr="009005ED" w:rsidRDefault="002144B8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Corbalan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Zł</w:t>
            </w:r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ota proporcja. 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>Matem</w:t>
            </w:r>
            <w:r w:rsidR="00AB5A92" w:rsidRPr="009A3B04">
              <w:rPr>
                <w:rFonts w:ascii="Times New Roman" w:hAnsi="Times New Roman" w:cs="Times New Roman"/>
                <w:sz w:val="24"/>
                <w:szCs w:val="24"/>
              </w:rPr>
              <w:t>atyczny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 xml:space="preserve"> ję</w:t>
            </w:r>
            <w:r w:rsidR="00AB5A92" w:rsidRPr="009A3B04">
              <w:rPr>
                <w:rFonts w:ascii="Times New Roman" w:hAnsi="Times New Roman" w:cs="Times New Roman"/>
                <w:sz w:val="24"/>
                <w:szCs w:val="24"/>
              </w:rPr>
              <w:t xml:space="preserve">zyk 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  <w:r w:rsidR="00AB5A92" w:rsidRPr="009A3B04">
              <w:rPr>
                <w:rFonts w:ascii="Times New Roman" w:hAnsi="Times New Roman" w:cs="Times New Roman"/>
                <w:sz w:val="24"/>
                <w:szCs w:val="24"/>
              </w:rPr>
              <w:t>kna,</w:t>
            </w:r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RBA </w:t>
            </w:r>
            <w:proofErr w:type="spellStart"/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>Colleccionables</w:t>
            </w:r>
            <w:proofErr w:type="spellEnd"/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>, Warszawa 2012.</w:t>
            </w:r>
          </w:p>
          <w:p w14:paraId="5BC90E33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J. Davis, R.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Hersh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Marchisotto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mathematical experience. With an introduction by </w:t>
            </w:r>
            <w:proofErr w:type="spellStart"/>
            <w:r w:rsidRPr="009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</w:t>
            </w:r>
            <w:proofErr w:type="spellEnd"/>
            <w:r w:rsidR="009A3B04" w:rsidRPr="009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Carlo</w:t>
            </w: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Rota. Study edition.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Birkhäuser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Boston, Inc., Boston, MA, 1995.</w:t>
            </w:r>
          </w:p>
          <w:p w14:paraId="4B32ACDE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Erdös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B. Purdy, Extremal problems in combinatorial geometry, w: R.L. Graham (Ed.) et al., Handbook of combinatorics. 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Vol. 1-2, 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proofErr w:type="spellEnd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-Holland), Amsterdam, 1995, 809 — 874.</w:t>
            </w:r>
          </w:p>
          <w:p w14:paraId="721EA187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J. Gomez, Tam, gdzie proste 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Pr="009A3B04">
              <w:rPr>
                <w:rFonts w:ascii="Times New Roman" w:hAnsi="Times New Roman" w:cs="Times New Roman"/>
                <w:sz w:val="24"/>
                <w:szCs w:val="24"/>
              </w:rPr>
              <w:t xml:space="preserve"> krzywe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. Geometrie nieeuklidesowe, RBA 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Colleccionables</w:t>
            </w:r>
            <w:proofErr w:type="spellEnd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, Warszawa 2012.</w:t>
            </w:r>
          </w:p>
          <w:p w14:paraId="1C27B2EE" w14:textId="77777777" w:rsidR="00AB5A92" w:rsidRPr="009005ED" w:rsidRDefault="009A3B04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Wstę</w:t>
            </w:r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p do matematyki. Zbiory, struktury, modele, Wydawnictwo Uniwersytetu </w:t>
            </w:r>
            <w:r w:rsidRPr="009A3B04">
              <w:rPr>
                <w:rFonts w:ascii="Times New Roman" w:hAnsi="Times New Roman" w:cs="Times New Roman"/>
                <w:sz w:val="24"/>
                <w:szCs w:val="24"/>
              </w:rPr>
              <w:t>Jagielloń</w:t>
            </w:r>
            <w:r w:rsidR="00AB5A92" w:rsidRPr="009A3B04">
              <w:rPr>
                <w:rFonts w:ascii="Times New Roman" w:hAnsi="Times New Roman" w:cs="Times New Roman"/>
                <w:sz w:val="24"/>
                <w:szCs w:val="24"/>
              </w:rPr>
              <w:t>skiego,</w:t>
            </w:r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Kraków 2006.</w:t>
            </w:r>
          </w:p>
          <w:p w14:paraId="3A0803BE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R.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Grimmett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 R.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Stirzaker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Probability and Random Processes, Oxford University Press, Oxford 2001.</w:t>
            </w:r>
          </w:p>
          <w:p w14:paraId="60845B1A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G. Hardy, Apologia matematyka, Wyd. </w:t>
            </w:r>
            <w:r w:rsidR="009A3B04" w:rsidRPr="002144B8">
              <w:rPr>
                <w:rFonts w:ascii="Times New Roman" w:hAnsi="Times New Roman" w:cs="Times New Roman"/>
                <w:sz w:val="24"/>
                <w:szCs w:val="24"/>
              </w:rPr>
              <w:t>Prószyń</w:t>
            </w:r>
            <w:r w:rsidRPr="002144B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i S-ka, Warszawa 1997.</w:t>
            </w:r>
          </w:p>
          <w:p w14:paraId="50A7CE6F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Harris, Mathematics without apologies: Portrait of a problematic vocation, Princeton University Press, Princeton 2015.</w:t>
            </w:r>
          </w:p>
          <w:p w14:paraId="50A757EF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Hartshorne, Geometry: Euclid and Beyond, Springer, New York 2000.</w:t>
            </w:r>
          </w:p>
          <w:p w14:paraId="3EE53CF9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Klee, S. Wagon, Old and New Unsolved Problems in Plane Geometry and Number Theory, The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Dolciani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Mathematical Expositions 11, The Mathematical Association of America, Washington DC 1991.</w:t>
            </w:r>
          </w:p>
          <w:p w14:paraId="7B60EB6E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G.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Krantz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 Episodic History of Mathematics: Mathematical Culture Through Problem Solving, Mathematical Association of America, 2010.</w:t>
            </w:r>
          </w:p>
          <w:p w14:paraId="5034C608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G.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Krantz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How to teach mathematics, AMS, Providence, Rhode Island, 2015.</w:t>
            </w:r>
          </w:p>
          <w:p w14:paraId="139E107A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Mac Lane, Mathematics Form and Function, Springer, New York 1986.</w:t>
            </w:r>
          </w:p>
          <w:p w14:paraId="31EADD8E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Marcus, H.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Minc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 survey of matrix theory and matrix inequalities, Allyn and Bacon, Boston 1964.</w:t>
            </w:r>
          </w:p>
          <w:p w14:paraId="1A426422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Moszner</w:t>
            </w:r>
            <w:proofErr w:type="spellEnd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, O mierzeniu w matematyce, Biblioteczka matematyczna (tom 10), </w:t>
            </w:r>
            <w:r w:rsidR="002144B8" w:rsidRPr="002144B8">
              <w:rPr>
                <w:rFonts w:ascii="Times New Roman" w:hAnsi="Times New Roman" w:cs="Times New Roman"/>
                <w:sz w:val="24"/>
                <w:szCs w:val="24"/>
              </w:rPr>
              <w:t>Pań</w:t>
            </w:r>
            <w:r w:rsidRPr="002144B8">
              <w:rPr>
                <w:rFonts w:ascii="Times New Roman" w:hAnsi="Times New Roman" w:cs="Times New Roman"/>
                <w:sz w:val="24"/>
                <w:szCs w:val="24"/>
              </w:rPr>
              <w:t>stwowe</w:t>
            </w:r>
            <w:r w:rsidR="002144B8">
              <w:rPr>
                <w:rFonts w:ascii="Times New Roman" w:hAnsi="Times New Roman" w:cs="Times New Roman"/>
                <w:sz w:val="24"/>
                <w:szCs w:val="24"/>
              </w:rPr>
              <w:t xml:space="preserve"> Zakł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ady Wydawnictw Szkolnych, Warszawa 1961.</w:t>
            </w:r>
          </w:p>
          <w:p w14:paraId="00083423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C. Oxtoby, Measure and Category, Graduate Texts in Mathematics, Springer-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Verlag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New York Heidelberg Berlin 1971.</w:t>
            </w:r>
          </w:p>
          <w:p w14:paraId="55C4D6A4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Ribenboim</w:t>
            </w:r>
            <w:proofErr w:type="spellEnd"/>
            <w:r w:rsidR="002144B8">
              <w:rPr>
                <w:rFonts w:ascii="Times New Roman" w:hAnsi="Times New Roman" w:cs="Times New Roman"/>
                <w:sz w:val="24"/>
                <w:szCs w:val="24"/>
              </w:rPr>
              <w:t>, Mała księ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ga wielkich liczb pierwszych, WNT, Warszawa 1997.</w:t>
            </w:r>
          </w:p>
          <w:p w14:paraId="7B6B26B2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Tao, Solving Mathematical Problems: A personal Perspective, Oxford University Press, Oxford 2006.</w:t>
            </w:r>
          </w:p>
          <w:p w14:paraId="58B86F54" w14:textId="77777777" w:rsidR="00AB5A92" w:rsidRPr="00571FB8" w:rsidRDefault="00D32547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Tao, An Epsilon of Room, I</w:t>
            </w:r>
            <w:r w:rsidR="00AB5A92"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Real Analysis, Graduate Studies in Mathematics vol. 117, American Mathematical Society, Providence, Rhode Island, 2010.</w:t>
            </w:r>
          </w:p>
          <w:p w14:paraId="3693BC50" w14:textId="77777777" w:rsidR="00D32547" w:rsidRPr="00D32547" w:rsidRDefault="00E9483E" w:rsidP="00D3254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Tall (Ed.), Advanced mathematical thinking, Mathematics Education</w:t>
            </w:r>
            <w:r w:rsidR="00D32547" w:rsidRP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Library vol. 11, Kluwer</w:t>
            </w:r>
            <w:r w:rsid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2547" w:rsidRP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Publishers, New York Boston Dordrecht London Moscow 1991.</w:t>
            </w:r>
          </w:p>
          <w:p w14:paraId="5CAC17E3" w14:textId="77777777" w:rsidR="00D32547" w:rsidRPr="00D32547" w:rsidRDefault="00D32547" w:rsidP="00D32547">
            <w:pPr>
              <w:pStyle w:val="Akapitzlis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1D3C9A" w14:textId="77777777" w:rsidR="00E9483E" w:rsidRPr="00571FB8" w:rsidRDefault="00E9483E" w:rsidP="00D32547">
            <w:pPr>
              <w:pStyle w:val="Akapitzlis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AAB151" w14:textId="77777777" w:rsidR="00AB5A92" w:rsidRPr="00571FB8" w:rsidRDefault="00AB5A92" w:rsidP="00900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EC130C" w14:textId="77777777" w:rsidR="00D33347" w:rsidRPr="00571FB8" w:rsidRDefault="00900FAC">
      <w:pPr>
        <w:rPr>
          <w:lang w:val="en-US"/>
        </w:rPr>
      </w:pPr>
    </w:p>
    <w:sectPr w:rsidR="00D33347" w:rsidRPr="00571FB8" w:rsidSect="00AB5A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C589" w14:textId="77777777" w:rsidR="00900FAC" w:rsidRDefault="00900FAC" w:rsidP="009005ED">
      <w:pPr>
        <w:spacing w:after="0" w:line="240" w:lineRule="auto"/>
      </w:pPr>
      <w:r>
        <w:separator/>
      </w:r>
    </w:p>
  </w:endnote>
  <w:endnote w:type="continuationSeparator" w:id="0">
    <w:p w14:paraId="7A05E259" w14:textId="77777777" w:rsidR="00900FAC" w:rsidRDefault="00900FAC" w:rsidP="009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108948"/>
      <w:docPartObj>
        <w:docPartGallery w:val="Page Numbers (Bottom of Page)"/>
        <w:docPartUnique/>
      </w:docPartObj>
    </w:sdtPr>
    <w:sdtEndPr/>
    <w:sdtContent>
      <w:p w14:paraId="0B49E38E" w14:textId="77777777" w:rsidR="00073999" w:rsidRDefault="00073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01">
          <w:rPr>
            <w:noProof/>
          </w:rPr>
          <w:t>1</w:t>
        </w:r>
        <w:r>
          <w:fldChar w:fldCharType="end"/>
        </w:r>
      </w:p>
    </w:sdtContent>
  </w:sdt>
  <w:p w14:paraId="2CAB6BC5" w14:textId="77777777" w:rsidR="00073999" w:rsidRDefault="000739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FF52B" w14:textId="77777777" w:rsidR="00900FAC" w:rsidRDefault="00900FAC" w:rsidP="009005ED">
      <w:pPr>
        <w:spacing w:after="0" w:line="240" w:lineRule="auto"/>
      </w:pPr>
      <w:r>
        <w:separator/>
      </w:r>
    </w:p>
  </w:footnote>
  <w:footnote w:type="continuationSeparator" w:id="0">
    <w:p w14:paraId="2E6B4C4D" w14:textId="77777777" w:rsidR="00900FAC" w:rsidRDefault="00900FAC" w:rsidP="0090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547D"/>
    <w:multiLevelType w:val="multilevel"/>
    <w:tmpl w:val="5E1A78C0"/>
    <w:lvl w:ilvl="0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05C12"/>
    <w:multiLevelType w:val="hybridMultilevel"/>
    <w:tmpl w:val="A176CF16"/>
    <w:lvl w:ilvl="0" w:tplc="092EA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2613"/>
    <w:multiLevelType w:val="hybridMultilevel"/>
    <w:tmpl w:val="D276B29C"/>
    <w:lvl w:ilvl="0" w:tplc="B1B8745A">
      <w:start w:val="1"/>
      <w:numFmt w:val="decimal"/>
      <w:lvlText w:val="%1."/>
      <w:lvlJc w:val="left"/>
      <w:pPr>
        <w:ind w:left="39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0C397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CEBA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EAD74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96D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84F2E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A8C68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E6BC1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205AE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926D2C"/>
    <w:multiLevelType w:val="hybridMultilevel"/>
    <w:tmpl w:val="5E1A78C0"/>
    <w:lvl w:ilvl="0" w:tplc="C542273E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0C397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CEBA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EAD74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96D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84F2E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A8C68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E6BC1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205AE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362F79"/>
    <w:multiLevelType w:val="multilevel"/>
    <w:tmpl w:val="072441DA"/>
    <w:lvl w:ilvl="0">
      <w:start w:val="1"/>
      <w:numFmt w:val="decimal"/>
      <w:lvlText w:val="%1."/>
      <w:lvlJc w:val="left"/>
      <w:pPr>
        <w:ind w:left="39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348A4"/>
    <w:multiLevelType w:val="hybridMultilevel"/>
    <w:tmpl w:val="EF10B828"/>
    <w:lvl w:ilvl="0" w:tplc="788AD0FE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F250F4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963128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C81470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FC9A28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4082BE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A4203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CCA6D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08514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6782F"/>
    <w:multiLevelType w:val="hybridMultilevel"/>
    <w:tmpl w:val="088C1CC4"/>
    <w:lvl w:ilvl="0" w:tplc="EF9CB75C">
      <w:start w:val="6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C002A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ECD9C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0E87A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E30A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8C72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82574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C0C62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C3B2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AD787B"/>
    <w:multiLevelType w:val="hybridMultilevel"/>
    <w:tmpl w:val="ED4E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92"/>
    <w:rsid w:val="00045FAC"/>
    <w:rsid w:val="00070C16"/>
    <w:rsid w:val="00073999"/>
    <w:rsid w:val="001815C0"/>
    <w:rsid w:val="001C0C70"/>
    <w:rsid w:val="002144B8"/>
    <w:rsid w:val="00354DDD"/>
    <w:rsid w:val="00522FE5"/>
    <w:rsid w:val="00571FB8"/>
    <w:rsid w:val="00620A15"/>
    <w:rsid w:val="0062449E"/>
    <w:rsid w:val="0065609F"/>
    <w:rsid w:val="009005ED"/>
    <w:rsid w:val="00900FAC"/>
    <w:rsid w:val="009A3B04"/>
    <w:rsid w:val="00A33893"/>
    <w:rsid w:val="00A56D01"/>
    <w:rsid w:val="00AB5A92"/>
    <w:rsid w:val="00B03573"/>
    <w:rsid w:val="00B0795A"/>
    <w:rsid w:val="00C20D80"/>
    <w:rsid w:val="00C71BB9"/>
    <w:rsid w:val="00CB4F02"/>
    <w:rsid w:val="00CB6142"/>
    <w:rsid w:val="00CE3D34"/>
    <w:rsid w:val="00D21B22"/>
    <w:rsid w:val="00D32547"/>
    <w:rsid w:val="00D525C7"/>
    <w:rsid w:val="00E43AC6"/>
    <w:rsid w:val="00E9483E"/>
    <w:rsid w:val="00E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32C4"/>
  <w15:docId w15:val="{EC3DB9E5-921F-4A60-BC84-5149BF37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A92"/>
    <w:pPr>
      <w:spacing w:after="4"/>
      <w:ind w:left="15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E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ED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D2A6-067B-4D5C-BBDE-FE5B4D5E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Czaplińska-Semla</dc:creator>
  <cp:keywords/>
  <dc:description/>
  <cp:lastModifiedBy>Jacek Chmieliński</cp:lastModifiedBy>
  <cp:revision>3</cp:revision>
  <cp:lastPrinted>2020-11-26T10:56:00Z</cp:lastPrinted>
  <dcterms:created xsi:type="dcterms:W3CDTF">2023-07-14T08:28:00Z</dcterms:created>
  <dcterms:modified xsi:type="dcterms:W3CDTF">2023-07-14T09:11:00Z</dcterms:modified>
</cp:coreProperties>
</file>