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ED" w:rsidRPr="006A1B85" w:rsidRDefault="00DA7BED" w:rsidP="00DA7B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XIII</w:t>
      </w:r>
      <w:r w:rsidRPr="00730E05">
        <w:rPr>
          <w:rFonts w:asciiTheme="minorHAnsi" w:hAnsiTheme="minorHAnsi" w:cstheme="minorHAnsi"/>
          <w:b/>
        </w:rPr>
        <w:t xml:space="preserve">  Dyscyplina:</w:t>
      </w:r>
      <w:r w:rsidRPr="00730E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EKONOMIA I FINANSE</w:t>
      </w:r>
      <w:r w:rsidRPr="00730E05">
        <w:rPr>
          <w:rFonts w:asciiTheme="minorHAnsi" w:hAnsiTheme="minorHAnsi" w:cstheme="minorHAnsi"/>
          <w:b/>
        </w:rPr>
        <w:t xml:space="preserve"> </w:t>
      </w:r>
    </w:p>
    <w:p w:rsidR="00DA7BED" w:rsidRPr="00730E05" w:rsidRDefault="00DA7BED" w:rsidP="00DA7BED">
      <w:pPr>
        <w:pStyle w:val="Default"/>
        <w:rPr>
          <w:rFonts w:asciiTheme="minorHAnsi" w:hAnsiTheme="minorHAnsi" w:cstheme="minorHAnsi"/>
        </w:rPr>
      </w:pP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1. Do Szkoły Doktorskiej w zakresie dyscypliny </w:t>
      </w:r>
      <w:r>
        <w:rPr>
          <w:rFonts w:asciiTheme="minorHAnsi" w:hAnsiTheme="minorHAnsi" w:cstheme="minorHAnsi"/>
        </w:rPr>
        <w:t>ekonomia i finanse</w:t>
      </w:r>
      <w:r w:rsidRPr="00730E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może być przyjęta osoba</w:t>
      </w:r>
      <w:r w:rsidRPr="00730E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posiadająca</w:t>
      </w:r>
      <w:r w:rsidRPr="00B911B2">
        <w:rPr>
          <w:rFonts w:asciiTheme="minorHAnsi" w:hAnsiTheme="minorHAnsi" w:cstheme="minorHAnsi"/>
        </w:rPr>
        <w:t xml:space="preserve"> tytuł zawodowy magi</w:t>
      </w:r>
      <w:r>
        <w:rPr>
          <w:rFonts w:asciiTheme="minorHAnsi" w:hAnsiTheme="minorHAnsi" w:cstheme="minorHAnsi"/>
        </w:rPr>
        <w:t>stra lub inny równorzędny, która ukończyła</w:t>
      </w:r>
      <w:r w:rsidRPr="00B911B2">
        <w:rPr>
          <w:rFonts w:asciiTheme="minorHAnsi" w:hAnsiTheme="minorHAnsi" w:cstheme="minorHAnsi"/>
        </w:rPr>
        <w:t xml:space="preserve"> studia II sto</w:t>
      </w:r>
      <w:r>
        <w:rPr>
          <w:rFonts w:asciiTheme="minorHAnsi" w:hAnsiTheme="minorHAnsi" w:cstheme="minorHAnsi"/>
        </w:rPr>
        <w:t>pnia lub jednolite magisterskie</w:t>
      </w:r>
      <w:r w:rsidRPr="00730E0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DA7BED" w:rsidRPr="00730E05" w:rsidRDefault="00DA7BED" w:rsidP="00DA7BED">
      <w:pPr>
        <w:pStyle w:val="Default"/>
        <w:rPr>
          <w:rFonts w:asciiTheme="minorHAnsi" w:hAnsiTheme="minorHAnsi" w:cstheme="minorHAnsi"/>
        </w:rPr>
      </w:pPr>
    </w:p>
    <w:p w:rsidR="00DA7BED" w:rsidRPr="00730E05" w:rsidRDefault="00DA7BED" w:rsidP="00DA7BED">
      <w:pPr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2. Doktorant może realizować temat pracy doktorskiej w następujących zakresach: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b/>
          <w:bCs/>
          <w:color w:val="0070C0"/>
        </w:rPr>
      </w:pPr>
      <w:r w:rsidRPr="0042489D">
        <w:rPr>
          <w:rFonts w:asciiTheme="minorHAnsi" w:hAnsiTheme="minorHAnsi" w:cstheme="minorHAnsi"/>
        </w:rPr>
        <w:t>problematyka mikroekonomiczna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Theme="minorHAnsi" w:hAnsiTheme="minorHAnsi" w:cstheme="minorHAnsi"/>
        </w:rPr>
        <w:t xml:space="preserve">problematyka makroekonomiczna: teoria wzrostu, procesy inflacyjne, </w:t>
      </w:r>
      <w:r>
        <w:rPr>
          <w:rFonts w:asciiTheme="minorHAnsi" w:hAnsiTheme="minorHAnsi" w:cstheme="minorHAnsi"/>
          <w:bCs/>
          <w:color w:val="auto"/>
        </w:rPr>
        <w:t>bezrobocie</w:t>
      </w:r>
      <w:r w:rsidRPr="0042489D">
        <w:rPr>
          <w:rFonts w:asciiTheme="minorHAnsi" w:hAnsiTheme="minorHAnsi" w:cstheme="minorHAnsi"/>
          <w:color w:val="00B0F0"/>
        </w:rPr>
        <w:t xml:space="preserve"> 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polityka gospodarcza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Theme="minorHAnsi" w:hAnsiTheme="minorHAnsi" w:cstheme="minorHAnsi"/>
        </w:rPr>
        <w:t>finanse publiczne, finanse samorządowe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Theme="minorHAnsi" w:hAnsiTheme="minorHAnsi" w:cstheme="minorHAnsi"/>
        </w:rPr>
        <w:t xml:space="preserve">finanse przedsiębiorstw 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="Calibri" w:hAnsi="Calibri" w:cs="Calibri"/>
        </w:rPr>
        <w:t>przedsiębiorczość i innowacje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Theme="minorHAnsi" w:hAnsiTheme="minorHAnsi" w:cstheme="minorHAnsi"/>
        </w:rPr>
        <w:t>ekonomia społeczna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</w:rPr>
      </w:pPr>
      <w:r w:rsidRPr="0042489D">
        <w:rPr>
          <w:rFonts w:asciiTheme="minorHAnsi" w:hAnsiTheme="minorHAnsi" w:cstheme="minorHAnsi"/>
        </w:rPr>
        <w:t>międzynarodowe stosunki gospodarcze</w:t>
      </w:r>
    </w:p>
    <w:p w:rsidR="00DA7BED" w:rsidRPr="0042489D" w:rsidRDefault="00DA7BED" w:rsidP="00DA7BED">
      <w:pPr>
        <w:pStyle w:val="Default"/>
        <w:numPr>
          <w:ilvl w:val="0"/>
          <w:numId w:val="2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Theme="minorHAnsi" w:hAnsiTheme="minorHAnsi" w:cstheme="minorHAnsi"/>
          <w:bCs/>
          <w:color w:val="00B0F0"/>
        </w:rPr>
      </w:pPr>
      <w:r w:rsidRPr="0042489D">
        <w:rPr>
          <w:rFonts w:asciiTheme="minorHAnsi" w:hAnsiTheme="minorHAnsi" w:cstheme="minorHAnsi"/>
          <w:bCs/>
          <w:color w:val="auto"/>
        </w:rPr>
        <w:t>współczesne problemy gospodarki światowej</w:t>
      </w:r>
    </w:p>
    <w:p w:rsidR="00DA7BED" w:rsidRPr="00730E05" w:rsidRDefault="00DA7BED" w:rsidP="00DA7BED">
      <w:pPr>
        <w:pStyle w:val="Default"/>
        <w:rPr>
          <w:rFonts w:asciiTheme="minorHAnsi" w:hAnsiTheme="minorHAnsi" w:cstheme="minorHAnsi"/>
        </w:rPr>
      </w:pP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3. Postępowanie rekrutacyjne przeprowadzane jest w formie konkursu, w którym ocenie punktowej podlegają: </w:t>
      </w: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</w:p>
    <w:p w:rsidR="00DA7BED" w:rsidRPr="00DA7C10" w:rsidRDefault="00DA7BED" w:rsidP="00DA7BED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a) </w:t>
      </w:r>
      <w:r w:rsidRPr="00730E05">
        <w:rPr>
          <w:rFonts w:asciiTheme="minorHAnsi" w:hAnsiTheme="minorHAnsi" w:cstheme="minorHAnsi"/>
          <w:u w:val="single"/>
        </w:rPr>
        <w:t>Projekt badawczy</w:t>
      </w:r>
      <w:r w:rsidRPr="00730E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(0-15 pkt.) </w:t>
      </w:r>
      <w:r w:rsidRPr="00730E05">
        <w:rPr>
          <w:rFonts w:asciiTheme="minorHAnsi" w:hAnsiTheme="minorHAnsi" w:cstheme="minorHAnsi"/>
        </w:rPr>
        <w:t xml:space="preserve">zgłaszany przez kandydata, który może być w przyszłości </w:t>
      </w:r>
      <w:r>
        <w:rPr>
          <w:rFonts w:asciiTheme="minorHAnsi" w:hAnsiTheme="minorHAnsi" w:cstheme="minorHAnsi"/>
        </w:rPr>
        <w:t xml:space="preserve">tematem jego pracy doktorskiej. </w:t>
      </w:r>
      <w:r w:rsidRPr="00730E05">
        <w:rPr>
          <w:rFonts w:asciiTheme="minorHAnsi" w:hAnsiTheme="minorHAnsi" w:cstheme="minorHAnsi"/>
        </w:rPr>
        <w:t xml:space="preserve">Projekt powinien być napisany w języku polskim lub angielskim i mieć objętość </w:t>
      </w:r>
      <w:r w:rsidRPr="00DA7C10">
        <w:rPr>
          <w:rFonts w:asciiTheme="minorHAnsi" w:hAnsiTheme="minorHAnsi" w:cstheme="minorHAnsi"/>
        </w:rPr>
        <w:t>nie mniejszą niż</w:t>
      </w:r>
      <w:r>
        <w:rPr>
          <w:rFonts w:asciiTheme="minorHAnsi" w:hAnsiTheme="minorHAnsi" w:cstheme="minorHAnsi"/>
        </w:rPr>
        <w:t xml:space="preserve"> 10 tys. oraz nie większą niż 20</w:t>
      </w:r>
      <w:r w:rsidRPr="00DA7C10">
        <w:rPr>
          <w:rFonts w:asciiTheme="minorHAnsi" w:hAnsiTheme="minorHAnsi" w:cstheme="minorHAnsi"/>
        </w:rPr>
        <w:t xml:space="preserve"> tys. znaków bez spacji (nie wliczając bibliografii). Projekt ocenia dwóch recenzentów wyznaczonych przez Przewodniczącego Komisji Rekrutacyjnej spośród pracowników naukowych posiadających uprawnienia do promowania doktorów reprezentujących dyscyplinę naukową, w której oferowany jest projekt badawczy.</w:t>
      </w: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Końcową ocenę projektu stanowi średnia punktów przyznanych przez każdego z recenzentów w następujących kategoriach: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sformułowanie problematyki badawczej – 0–3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znajomość aktualnego stanu badań – 0–3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proponowana metodologia – 0–3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nowatorstwo i wartość poznawcza – 0–3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możliwości realizacji proponowanego projektu badawczego – 0–3 pkt. </w:t>
      </w: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</w:p>
    <w:p w:rsidR="00DA7BED" w:rsidRDefault="00DA7BED" w:rsidP="00DA7BED">
      <w:pPr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b) </w:t>
      </w:r>
      <w:r w:rsidRPr="00730E05">
        <w:rPr>
          <w:rFonts w:asciiTheme="minorHAnsi" w:hAnsiTheme="minorHAnsi" w:cstheme="minorHAnsi"/>
          <w:bCs/>
          <w:u w:val="single"/>
        </w:rPr>
        <w:t>Rozmowa kwalifikacyjna</w:t>
      </w:r>
      <w:r w:rsidRPr="00730E05">
        <w:rPr>
          <w:rFonts w:asciiTheme="minorHAnsi" w:hAnsiTheme="minorHAnsi" w:cstheme="minorHAnsi"/>
          <w:b/>
          <w:bCs/>
        </w:rPr>
        <w:t xml:space="preserve"> </w:t>
      </w:r>
      <w:r w:rsidRPr="00730E05">
        <w:rPr>
          <w:rFonts w:asciiTheme="minorHAnsi" w:hAnsiTheme="minorHAnsi" w:cstheme="minorHAnsi"/>
        </w:rPr>
        <w:t xml:space="preserve">(0-20 pkt.), </w:t>
      </w:r>
      <w:r w:rsidRPr="008A3EB3">
        <w:rPr>
          <w:rFonts w:asciiTheme="minorHAnsi" w:hAnsiTheme="minorHAnsi" w:cstheme="minorHAnsi"/>
        </w:rPr>
        <w:t>której celem jest sprawdzenie przygotowania i zainteresowań naukowych kandydata w oparciu o złożony projekt badawczy oraz wiedzy ogólnej z danej dyscypliny naukowej.</w:t>
      </w:r>
      <w:r>
        <w:rPr>
          <w:rFonts w:asciiTheme="minorHAnsi" w:hAnsiTheme="minorHAnsi" w:cstheme="minorHAnsi"/>
        </w:rPr>
        <w:t xml:space="preserve"> </w:t>
      </w:r>
      <w:r w:rsidRPr="00730E05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ozmowa może być przeprowadzona </w:t>
      </w:r>
      <w:r w:rsidRPr="00730E05">
        <w:rPr>
          <w:rFonts w:asciiTheme="minorHAnsi" w:hAnsiTheme="minorHAnsi" w:cstheme="minorHAnsi"/>
        </w:rPr>
        <w:t xml:space="preserve">w języku polskim lub angielskim. Końcową ocenę rozmowy kwalifikacyjnej stanowi średnia punktów przyznanych przez każdego z członków Komisji w poszczególnych kategoriach: </w:t>
      </w:r>
    </w:p>
    <w:p w:rsidR="00DA7BED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umiejętność ustnej prezentacji projektu badawczego – 0–5 pkt.,</w:t>
      </w:r>
    </w:p>
    <w:p w:rsidR="00DA7BED" w:rsidRPr="00A16B2D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A16B2D">
        <w:rPr>
          <w:rFonts w:asciiTheme="minorHAnsi" w:hAnsiTheme="minorHAnsi" w:cstheme="minorHAnsi"/>
        </w:rPr>
        <w:t xml:space="preserve">umiejętność uzasadnienia/obrony swojego projektu (przesłanek, celu badań, wybranej metodologii, oryginalności rozwiązania problemu badawczego) – 0–5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umiejętność prowadzenia dyskusji naukowej – 0–5 pkt.,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ogólna wiedza w zakresie danej dyscypliny– 0–5 pkt.</w:t>
      </w:r>
    </w:p>
    <w:p w:rsidR="00DA7BED" w:rsidRPr="00730E05" w:rsidRDefault="00DA7BED" w:rsidP="00DA7BED">
      <w:pPr>
        <w:pStyle w:val="Default"/>
        <w:jc w:val="both"/>
        <w:rPr>
          <w:rFonts w:asciiTheme="minorHAnsi" w:hAnsiTheme="minorHAnsi" w:cstheme="minorHAnsi"/>
        </w:rPr>
      </w:pPr>
    </w:p>
    <w:p w:rsidR="00DA7BED" w:rsidRPr="00730E05" w:rsidRDefault="00DA7BED" w:rsidP="00DA7BED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c)   </w:t>
      </w:r>
      <w:r w:rsidRPr="00730E05">
        <w:rPr>
          <w:rFonts w:asciiTheme="minorHAnsi" w:hAnsiTheme="minorHAnsi" w:cstheme="minorHAnsi"/>
          <w:u w:val="single"/>
        </w:rPr>
        <w:t>Ocena aktywności naukowej</w:t>
      </w:r>
      <w:r w:rsidRPr="00730E05">
        <w:rPr>
          <w:rFonts w:asciiTheme="minorHAnsi" w:hAnsiTheme="minorHAnsi" w:cstheme="minorHAnsi"/>
          <w:b/>
        </w:rPr>
        <w:t xml:space="preserve"> </w:t>
      </w:r>
      <w:r w:rsidRPr="00730E05">
        <w:rPr>
          <w:rFonts w:asciiTheme="minorHAnsi" w:hAnsiTheme="minorHAnsi" w:cstheme="minorHAnsi"/>
        </w:rPr>
        <w:t>(0-7 pkt.)</w:t>
      </w:r>
      <w:r>
        <w:rPr>
          <w:rFonts w:asciiTheme="minorHAnsi" w:hAnsiTheme="minorHAnsi" w:cstheme="minorHAnsi"/>
        </w:rPr>
        <w:t xml:space="preserve"> z ostatnich 5 lat</w:t>
      </w:r>
      <w:r w:rsidRPr="00730E05">
        <w:rPr>
          <w:rFonts w:asciiTheme="minorHAnsi" w:hAnsiTheme="minorHAnsi" w:cstheme="minorHAnsi"/>
        </w:rPr>
        <w:t xml:space="preserve">: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lastRenderedPageBreak/>
        <w:t xml:space="preserve">publikacja w czasopiśmie naukowym, autorstwo monografii lub rozdziału w monografii w  wydawnictwie  uwzględnionym w wykazie </w:t>
      </w:r>
      <w:proofErr w:type="spellStart"/>
      <w:r w:rsidRPr="00730E05">
        <w:rPr>
          <w:rFonts w:asciiTheme="minorHAnsi" w:hAnsiTheme="minorHAnsi" w:cstheme="minorHAnsi"/>
        </w:rPr>
        <w:t>MNiSzW</w:t>
      </w:r>
      <w:proofErr w:type="spellEnd"/>
      <w:r w:rsidRPr="00730E05">
        <w:rPr>
          <w:rFonts w:asciiTheme="minorHAnsi" w:hAnsiTheme="minorHAnsi" w:cstheme="minorHAnsi"/>
        </w:rPr>
        <w:t xml:space="preserve">  – 0-2 pkt.,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udział w konferencji naukowej o charakterze międzynarodowym z wygłoszonym referatem – 0-2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staż krajowy, zagraniczny lub stypendialny (co najmniej 7dni) – 0-1 pkt.,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wybitne osiągnięcia w pracy w kole naukowym lub projekty naukowe zrealizowane </w:t>
      </w:r>
      <w:r w:rsidRPr="00730E05">
        <w:rPr>
          <w:rFonts w:asciiTheme="minorHAnsi" w:hAnsiTheme="minorHAnsi" w:cstheme="minorHAnsi"/>
        </w:rPr>
        <w:br/>
        <w:t xml:space="preserve">w ramach działalności zawodowej – 0-1 pkt., </w:t>
      </w:r>
    </w:p>
    <w:p w:rsidR="00DA7BED" w:rsidRPr="00730E05" w:rsidRDefault="00DA7BED" w:rsidP="00DA7BED">
      <w:pPr>
        <w:pStyle w:val="Default"/>
        <w:numPr>
          <w:ilvl w:val="0"/>
          <w:numId w:val="1"/>
        </w:numPr>
        <w:autoSpaceDE/>
        <w:autoSpaceDN/>
        <w:adjustRightInd/>
        <w:ind w:left="360" w:hanging="360"/>
        <w:jc w:val="both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 xml:space="preserve">nagrody lub wyróżnienia naukowe – 0-1pkt. </w:t>
      </w:r>
    </w:p>
    <w:p w:rsidR="00DA7BED" w:rsidRPr="00730E05" w:rsidRDefault="00DA7BED" w:rsidP="00DA7BED">
      <w:pPr>
        <w:pStyle w:val="Default"/>
        <w:rPr>
          <w:rFonts w:asciiTheme="minorHAnsi" w:hAnsiTheme="minorHAnsi" w:cstheme="minorHAnsi"/>
        </w:rPr>
      </w:pPr>
    </w:p>
    <w:p w:rsidR="00DA7BED" w:rsidRPr="00682C8E" w:rsidRDefault="00DA7BED" w:rsidP="00DA7BED">
      <w:pPr>
        <w:pStyle w:val="Default"/>
        <w:rPr>
          <w:rFonts w:asciiTheme="minorHAnsi" w:hAnsiTheme="minorHAnsi" w:cstheme="minorHAnsi"/>
        </w:rPr>
      </w:pPr>
      <w:r w:rsidRPr="00730E05">
        <w:rPr>
          <w:rFonts w:asciiTheme="minorHAnsi" w:hAnsiTheme="minorHAnsi" w:cstheme="minorHAnsi"/>
        </w:rPr>
        <w:t>Wymagane jest dołączenie odpowiednich zaświadczeń/potwierdzeń, a w</w:t>
      </w:r>
      <w:r>
        <w:rPr>
          <w:rFonts w:asciiTheme="minorHAnsi" w:hAnsiTheme="minorHAnsi" w:cstheme="minorHAnsi"/>
        </w:rPr>
        <w:t xml:space="preserve"> przypadku publikacji -wydruk. </w:t>
      </w:r>
    </w:p>
    <w:p w:rsidR="009C77DB" w:rsidRDefault="009C77DB">
      <w:bookmarkStart w:id="0" w:name="_GoBack"/>
      <w:bookmarkEnd w:id="0"/>
    </w:p>
    <w:sectPr w:rsidR="009C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58B2"/>
    <w:multiLevelType w:val="multilevel"/>
    <w:tmpl w:val="D3980AAE"/>
    <w:name w:val="Numbered list 1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7FC45E66"/>
    <w:multiLevelType w:val="multilevel"/>
    <w:tmpl w:val="66740CFA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C8"/>
    <w:rsid w:val="002616C8"/>
    <w:rsid w:val="009C77DB"/>
    <w:rsid w:val="00D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9FD1E-85EC-4D43-AFD2-8A769129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A7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Marszałek</dc:creator>
  <cp:keywords/>
  <dc:description/>
  <cp:lastModifiedBy>Dorota Marszałek</cp:lastModifiedBy>
  <cp:revision>2</cp:revision>
  <dcterms:created xsi:type="dcterms:W3CDTF">2023-02-07T11:07:00Z</dcterms:created>
  <dcterms:modified xsi:type="dcterms:W3CDTF">2023-02-07T11:07:00Z</dcterms:modified>
</cp:coreProperties>
</file>