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6EC9" w14:textId="77777777" w:rsidR="004925CC" w:rsidRPr="004925CC" w:rsidRDefault="004925CC" w:rsidP="004925CC">
      <w:pPr>
        <w:rPr>
          <w:lang w:val="pl-PL"/>
        </w:rPr>
      </w:pPr>
      <w:r w:rsidRPr="004925CC">
        <w:rPr>
          <w:b/>
          <w:bCs/>
          <w:lang w:val="pl-PL"/>
        </w:rPr>
        <w:t xml:space="preserve">Dyscyplina: NAUKI O BEZPIECZEŃSTWIE </w:t>
      </w:r>
    </w:p>
    <w:p w14:paraId="0037DEFA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1. Wymagane jest posiadanie dyplomu ukończenia studiów II stopnia lub równoważnego z dziedziny nauk humanistycznych lub społecznych. Do Szkoły Doktorskiej może być przyjęta osoba posiadająca tytuł zawodowy magistra lub inny równorzędny, która ukończyła studia II stopnia lub jednolite magisterskie. </w:t>
      </w:r>
    </w:p>
    <w:p w14:paraId="7A71DB02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2. Tematyka przyszłych rozpraw doktorskich może dotyczyć następujących pól badawczych: </w:t>
      </w:r>
    </w:p>
    <w:p w14:paraId="7CEBD2C9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bezpieczeństwo narodowe, </w:t>
      </w:r>
    </w:p>
    <w:p w14:paraId="7E02695E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bezpieczeństwo międzynarodowe </w:t>
      </w:r>
    </w:p>
    <w:p w14:paraId="3D914132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bezpieczeństwo wewnętrzne, </w:t>
      </w:r>
    </w:p>
    <w:p w14:paraId="087EF35C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bezpieczeństwo informacyjne, </w:t>
      </w:r>
    </w:p>
    <w:p w14:paraId="094ABBE2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bezpieczeństwo społeczne, </w:t>
      </w:r>
    </w:p>
    <w:p w14:paraId="13168E11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bezpieczeństwo militarne, </w:t>
      </w:r>
    </w:p>
    <w:p w14:paraId="6354E828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bezpieczeństwo ekologiczne, </w:t>
      </w:r>
    </w:p>
    <w:p w14:paraId="4B5B3965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bezpieczeństwo energetyczne, </w:t>
      </w:r>
    </w:p>
    <w:p w14:paraId="05B5C2FE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bezpieczeństwo zdrowotne, </w:t>
      </w:r>
    </w:p>
    <w:p w14:paraId="290641F2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bezpieczeństwo kryzysowe, </w:t>
      </w:r>
    </w:p>
    <w:p w14:paraId="701CB92D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zarządzanie bezpieczeństwem i obronnością, </w:t>
      </w:r>
    </w:p>
    <w:p w14:paraId="18F8F281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- edukacja i profilaktyka bezpieczeństwa. </w:t>
      </w:r>
    </w:p>
    <w:p w14:paraId="1F11DBC2" w14:textId="5BAD910C" w:rsidR="00690DAB" w:rsidRDefault="004925CC" w:rsidP="004925CC">
      <w:pPr>
        <w:rPr>
          <w:lang w:val="pl-PL"/>
        </w:rPr>
      </w:pPr>
      <w:r w:rsidRPr="004925CC">
        <w:rPr>
          <w:lang w:val="pl-PL"/>
        </w:rPr>
        <w:t>3. Postępowanie rekrutacyjne przeprowadzane jest w formie konkursu, w którym ocenie punktowej podlegają:</w:t>
      </w:r>
    </w:p>
    <w:p w14:paraId="51FDBFE1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a) Projekt badawczy (0-15 pkt.), zgłaszany przez kandydata, który może być w przyszłości tematem jego pracy doktorskiej. Maksymalna ocena projektu badawczego to 15 pkt. Projekt powinien być napisany w języku polskim lub angielskim i mieć objętość nie mniejszą niż 10 tys. oraz nie większą niż 20 tys. znaków bez spacji, łącznie z bibliografią. Projekt ocenia dwóch recenzentów wyznaczonych przez Przewodniczącego Komisji Rekrutacyjnej spośród pracowników naukowych posiadających uprawnienia do promowania doktorów reprezentujących dyscyplinę naukową, w której oferowany jest projekt badawczy. Końcową ocenę projektu stanowi średnia punktów przyznanych przez każdego z recenzentów w następujących kategoriach: </w:t>
      </w:r>
    </w:p>
    <w:p w14:paraId="0EB6FB79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sformułowanie celu badania – 0-3 pkt., </w:t>
      </w:r>
    </w:p>
    <w:p w14:paraId="1CDA178B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znajomość aktualnego stanu badań – 0-3 pkt., </w:t>
      </w:r>
    </w:p>
    <w:p w14:paraId="75C5E704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proponowana metodologia – 0-3 pkt., </w:t>
      </w:r>
    </w:p>
    <w:p w14:paraId="443C7525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nowatorstwo i wartość poznawcza – 0-3 pkt., </w:t>
      </w:r>
    </w:p>
    <w:p w14:paraId="5E66ED79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możliwości realizacji oraz zasadność proponowanego projektu badawczego – 0-3 pkt. </w:t>
      </w:r>
    </w:p>
    <w:p w14:paraId="2DB11D6A" w14:textId="77777777" w:rsidR="004925CC" w:rsidRPr="004925CC" w:rsidRDefault="004925CC" w:rsidP="004925CC">
      <w:pPr>
        <w:rPr>
          <w:lang w:val="pl-PL"/>
        </w:rPr>
      </w:pPr>
    </w:p>
    <w:p w14:paraId="7EC238E8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lastRenderedPageBreak/>
        <w:t xml:space="preserve">b) Rozmowa kwalifikacyjna (0-20 pkt.), której celem jest sprawdzenie przygotowania i zainteresowań naukowych kandydata w oparciu o złożony projekt badawczy oraz wiedzy ogólnej z danej dyscypliny naukowej. Rozmowa może być przeprowadzona w języku polskim lub w języku angielskim (w sytuacjach szczególnych, wyłącznie za zgodą Przewodniczącego Komisji Rekrutacyjnej). Końcową ocenę rozmowy kwalifikacyjnej stanowi średnia punktów przyznanych przez każdego z członków Komisji w poszczególnych kategoriach: </w:t>
      </w:r>
    </w:p>
    <w:p w14:paraId="7C0E0E78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umiejętność ustnej prezentacji projektu badawczego – 0-5 pkt., </w:t>
      </w:r>
    </w:p>
    <w:p w14:paraId="424E0AE7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umiejętność uzasadnienia/obrony swojego projektu (przesłanek, celu badań, wybranej metodologii, oryginalności rozwiązania problemu badawczego) – 0-5 pkt., </w:t>
      </w:r>
    </w:p>
    <w:p w14:paraId="47051CC1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umiejętność prowadzenia dyskusji naukowej – 0-5 pkt., </w:t>
      </w:r>
    </w:p>
    <w:p w14:paraId="2A2CF3FA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ogólna wiedza w zakresie danej dyscypliny – 0-5 pkt. </w:t>
      </w:r>
    </w:p>
    <w:p w14:paraId="19988BD3" w14:textId="77777777" w:rsidR="004925CC" w:rsidRPr="004925CC" w:rsidRDefault="004925CC" w:rsidP="004925CC">
      <w:pPr>
        <w:rPr>
          <w:lang w:val="pl-PL"/>
        </w:rPr>
      </w:pPr>
    </w:p>
    <w:p w14:paraId="0C38D481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c) Ocena aktywności naukowej z ostatnich 5 lat (0-7 pkt.): </w:t>
      </w:r>
    </w:p>
    <w:p w14:paraId="7B3D0AD6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publikacja w czasopiśmie naukowym, autorstwo monografii lub rozdziału w monografii w wydawnictwie uwzględnionym w wykazie </w:t>
      </w:r>
      <w:proofErr w:type="spellStart"/>
      <w:r w:rsidRPr="004925CC">
        <w:rPr>
          <w:lang w:val="pl-PL"/>
        </w:rPr>
        <w:t>MNiSW</w:t>
      </w:r>
      <w:proofErr w:type="spellEnd"/>
      <w:r w:rsidRPr="004925CC">
        <w:rPr>
          <w:lang w:val="pl-PL"/>
        </w:rPr>
        <w:t xml:space="preserve"> – 0-2 pkt., </w:t>
      </w:r>
    </w:p>
    <w:p w14:paraId="6FD5B9DC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praca w kole naukowym – 0-1 pkt., </w:t>
      </w:r>
    </w:p>
    <w:p w14:paraId="75483284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udział w konferencji naukowej o charakterze międzynarodowym z wygłoszonym referatem – 0-2 pkt., </w:t>
      </w:r>
    </w:p>
    <w:p w14:paraId="6DC6ED0F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staż krajowy, zagraniczny lub stypendialny (co najmniej 7dni) – 0-1 pkt., </w:t>
      </w:r>
    </w:p>
    <w:p w14:paraId="03814314" w14:textId="77777777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 xml:space="preserve">− nagrody lub wyróżnienia naukowe – 0-1 pkt. </w:t>
      </w:r>
    </w:p>
    <w:p w14:paraId="10F6F5AA" w14:textId="77777777" w:rsidR="004925CC" w:rsidRPr="004925CC" w:rsidRDefault="004925CC" w:rsidP="004925CC">
      <w:pPr>
        <w:rPr>
          <w:lang w:val="pl-PL"/>
        </w:rPr>
      </w:pPr>
    </w:p>
    <w:p w14:paraId="2CA26BED" w14:textId="6D3B325A" w:rsidR="004925CC" w:rsidRPr="004925CC" w:rsidRDefault="004925CC" w:rsidP="004925CC">
      <w:pPr>
        <w:rPr>
          <w:lang w:val="pl-PL"/>
        </w:rPr>
      </w:pPr>
      <w:r w:rsidRPr="004925CC">
        <w:rPr>
          <w:lang w:val="pl-PL"/>
        </w:rPr>
        <w:t>Wymagane jest dołączenie odpowiednich zaświadczeń/potwierdzeń, a w przypadku publikacji -wydruk.</w:t>
      </w:r>
    </w:p>
    <w:sectPr w:rsidR="004925CC" w:rsidRPr="0049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FC"/>
    <w:rsid w:val="002824FC"/>
    <w:rsid w:val="004925CC"/>
    <w:rsid w:val="006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4F99"/>
  <w15:chartTrackingRefBased/>
  <w15:docId w15:val="{1C0E36F9-340D-42F5-AC03-D6FDF873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Maria Leszczyńska</cp:lastModifiedBy>
  <cp:revision>2</cp:revision>
  <dcterms:created xsi:type="dcterms:W3CDTF">2025-01-15T08:19:00Z</dcterms:created>
  <dcterms:modified xsi:type="dcterms:W3CDTF">2025-01-15T08:19:00Z</dcterms:modified>
</cp:coreProperties>
</file>