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6DE3" w14:textId="77777777" w:rsidR="006A6FF6" w:rsidRPr="006A6FF6" w:rsidRDefault="006A6FF6" w:rsidP="006A6FF6">
      <w:pPr>
        <w:rPr>
          <w:lang w:val="pl-PL"/>
        </w:rPr>
      </w:pPr>
      <w:r w:rsidRPr="006A6FF6">
        <w:rPr>
          <w:b/>
          <w:bCs/>
          <w:lang w:val="pl-PL"/>
        </w:rPr>
        <w:t xml:space="preserve">Dyscyplina: NAUKI O ZIEMI I ŚRODOWISKU </w:t>
      </w:r>
    </w:p>
    <w:p w14:paraId="035E7CED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1. Do Szkoły Doktorskiej może być przyjęta osoba posiadająca tytuł zawodowy magistra lub inny równorzędny, która ukończyła studia II stopnia lub jednolite magisterskie. </w:t>
      </w:r>
    </w:p>
    <w:p w14:paraId="5AEB534F" w14:textId="77777777" w:rsidR="006A6FF6" w:rsidRPr="006A6FF6" w:rsidRDefault="006A6FF6" w:rsidP="006A6FF6">
      <w:pPr>
        <w:rPr>
          <w:lang w:val="pl-PL"/>
        </w:rPr>
      </w:pPr>
    </w:p>
    <w:p w14:paraId="28DFFF55" w14:textId="2C4B96D6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2. Tematyka przyszłych rozpraw doktorskich może dotyczyć zagadnień z zakresu: </w:t>
      </w:r>
    </w:p>
    <w:p w14:paraId="3453300E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>- petrografii i geochemii (</w:t>
      </w:r>
      <w:proofErr w:type="spellStart"/>
      <w:r w:rsidRPr="006A6FF6">
        <w:rPr>
          <w:lang w:val="pl-PL"/>
        </w:rPr>
        <w:t>petrography</w:t>
      </w:r>
      <w:proofErr w:type="spellEnd"/>
      <w:r w:rsidRPr="006A6FF6">
        <w:rPr>
          <w:lang w:val="pl-PL"/>
        </w:rPr>
        <w:t xml:space="preserve"> and </w:t>
      </w:r>
      <w:proofErr w:type="spellStart"/>
      <w:r w:rsidRPr="006A6FF6">
        <w:rPr>
          <w:lang w:val="pl-PL"/>
        </w:rPr>
        <w:t>geochemistry</w:t>
      </w:r>
      <w:proofErr w:type="spellEnd"/>
      <w:r w:rsidRPr="006A6FF6">
        <w:rPr>
          <w:lang w:val="pl-PL"/>
        </w:rPr>
        <w:t xml:space="preserve">) </w:t>
      </w:r>
    </w:p>
    <w:p w14:paraId="76674A32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>- mikropaleontologii i paleoekologii (</w:t>
      </w:r>
      <w:proofErr w:type="spellStart"/>
      <w:r w:rsidRPr="006A6FF6">
        <w:rPr>
          <w:lang w:val="pl-PL"/>
        </w:rPr>
        <w:t>micropalaeontology</w:t>
      </w:r>
      <w:proofErr w:type="spellEnd"/>
      <w:r w:rsidRPr="006A6FF6">
        <w:rPr>
          <w:lang w:val="pl-PL"/>
        </w:rPr>
        <w:t xml:space="preserve"> and </w:t>
      </w:r>
      <w:proofErr w:type="spellStart"/>
      <w:r w:rsidRPr="006A6FF6">
        <w:rPr>
          <w:lang w:val="pl-PL"/>
        </w:rPr>
        <w:t>palaeoecology</w:t>
      </w:r>
      <w:proofErr w:type="spellEnd"/>
      <w:r w:rsidRPr="006A6FF6">
        <w:rPr>
          <w:lang w:val="pl-PL"/>
        </w:rPr>
        <w:t xml:space="preserve">) </w:t>
      </w:r>
    </w:p>
    <w:p w14:paraId="73965A72" w14:textId="77777777" w:rsidR="006A6FF6" w:rsidRPr="006A6FF6" w:rsidRDefault="006A6FF6" w:rsidP="006A6FF6">
      <w:pPr>
        <w:rPr>
          <w:lang w:val="en-US"/>
        </w:rPr>
      </w:pPr>
      <w:r w:rsidRPr="006A6FF6">
        <w:rPr>
          <w:lang w:val="en-US"/>
        </w:rPr>
        <w:t xml:space="preserve">- </w:t>
      </w:r>
      <w:proofErr w:type="spellStart"/>
      <w:r w:rsidRPr="006A6FF6">
        <w:rPr>
          <w:lang w:val="en-US"/>
        </w:rPr>
        <w:t>geomorfologii</w:t>
      </w:r>
      <w:proofErr w:type="spellEnd"/>
      <w:r w:rsidRPr="006A6FF6">
        <w:rPr>
          <w:lang w:val="en-US"/>
        </w:rPr>
        <w:t xml:space="preserve"> </w:t>
      </w:r>
      <w:proofErr w:type="spellStart"/>
      <w:r w:rsidRPr="006A6FF6">
        <w:rPr>
          <w:lang w:val="en-US"/>
        </w:rPr>
        <w:t>kotlin</w:t>
      </w:r>
      <w:proofErr w:type="spellEnd"/>
      <w:r w:rsidRPr="006A6FF6">
        <w:rPr>
          <w:lang w:val="en-US"/>
        </w:rPr>
        <w:t xml:space="preserve"> </w:t>
      </w:r>
      <w:proofErr w:type="spellStart"/>
      <w:r w:rsidRPr="006A6FF6">
        <w:rPr>
          <w:lang w:val="en-US"/>
        </w:rPr>
        <w:t>śródgórskich</w:t>
      </w:r>
      <w:proofErr w:type="spellEnd"/>
      <w:r w:rsidRPr="006A6FF6">
        <w:rPr>
          <w:lang w:val="en-US"/>
        </w:rPr>
        <w:t xml:space="preserve"> (geomorphology of intra-mountain basins) </w:t>
      </w:r>
    </w:p>
    <w:p w14:paraId="6A18B209" w14:textId="6AE666F5" w:rsidR="006A6FF6" w:rsidRDefault="006A6FF6" w:rsidP="006A6FF6">
      <w:pPr>
        <w:rPr>
          <w:lang w:val="pl-PL"/>
        </w:rPr>
      </w:pPr>
      <w:r w:rsidRPr="006A6FF6">
        <w:rPr>
          <w:lang w:val="pl-PL"/>
        </w:rPr>
        <w:t>- hydrologii i geomorfologii fluwialnej (</w:t>
      </w:r>
      <w:proofErr w:type="spellStart"/>
      <w:r w:rsidRPr="006A6FF6">
        <w:rPr>
          <w:lang w:val="pl-PL"/>
        </w:rPr>
        <w:t>fluvial</w:t>
      </w:r>
      <w:proofErr w:type="spellEnd"/>
      <w:r w:rsidRPr="006A6FF6">
        <w:rPr>
          <w:lang w:val="pl-PL"/>
        </w:rPr>
        <w:t xml:space="preserve"> </w:t>
      </w:r>
      <w:proofErr w:type="spellStart"/>
      <w:r w:rsidRPr="006A6FF6">
        <w:rPr>
          <w:lang w:val="pl-PL"/>
        </w:rPr>
        <w:t>hydrology</w:t>
      </w:r>
      <w:proofErr w:type="spellEnd"/>
      <w:r w:rsidRPr="006A6FF6">
        <w:rPr>
          <w:lang w:val="pl-PL"/>
        </w:rPr>
        <w:t xml:space="preserve"> and </w:t>
      </w:r>
      <w:proofErr w:type="spellStart"/>
      <w:r w:rsidRPr="006A6FF6">
        <w:rPr>
          <w:lang w:val="pl-PL"/>
        </w:rPr>
        <w:t>geomorphology</w:t>
      </w:r>
      <w:proofErr w:type="spellEnd"/>
      <w:r w:rsidRPr="006A6FF6">
        <w:rPr>
          <w:lang w:val="pl-PL"/>
        </w:rPr>
        <w:t xml:space="preserve">). </w:t>
      </w:r>
    </w:p>
    <w:p w14:paraId="2408AF54" w14:textId="77777777" w:rsidR="00B64718" w:rsidRPr="006A6FF6" w:rsidRDefault="00B64718" w:rsidP="006A6FF6">
      <w:pPr>
        <w:rPr>
          <w:lang w:val="pl-PL"/>
        </w:rPr>
      </w:pPr>
    </w:p>
    <w:p w14:paraId="5072EF64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3. Postępowanie rekrutacyjne przeprowadzane jest w formie konkursu, w którym ocenie punktowej podlegają: </w:t>
      </w:r>
    </w:p>
    <w:p w14:paraId="6456AD49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a) Projekt badawczy (0-15 pkt.), który może być potencjalnym tematem rozprawy doktorskiej. Projekt powinien być napisany w języku polskim lub angielskim i mieć objętość nie mniejszą niż 10 tys. oraz nie większą niż 18 tys. znaków bez spacji, łącznie z bibliografią. Projekt ocenia dwóch recenzentów wyznaczonych przez Przewodniczącego Komisji Rekrutacyjnej spośród pracowników naukowych posiadających uprawnienia do promowania doktorów reprezentujących dyscyplinę naukową, w której oferowany jest projekt badawczy. Końcową ocenę projektu stanowi średnia punktów przyznanych przez każdego z recenzentów w następujących kategoriach: </w:t>
      </w:r>
    </w:p>
    <w:p w14:paraId="6C42C12D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sformułowanie celu badania – 0-3 pkt., </w:t>
      </w:r>
    </w:p>
    <w:p w14:paraId="57F9DE9F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znajomość aktualnego stanu badań – 0-3 pkt., </w:t>
      </w:r>
    </w:p>
    <w:p w14:paraId="27DE5C98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proponowana metodologia – 0-3 pkt., </w:t>
      </w:r>
    </w:p>
    <w:p w14:paraId="1892FD1A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nowatorstwo i wartość poznawcza – 0-3 pkt., </w:t>
      </w:r>
    </w:p>
    <w:p w14:paraId="5A0485AB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możliwości realizacji oraz zasadność proponowanego projektu badawczego – 0-3 pkt. </w:t>
      </w:r>
    </w:p>
    <w:p w14:paraId="7A88C5F0" w14:textId="77777777" w:rsidR="006A6FF6" w:rsidRPr="006A6FF6" w:rsidRDefault="006A6FF6" w:rsidP="006A6FF6">
      <w:pPr>
        <w:rPr>
          <w:lang w:val="pl-PL"/>
        </w:rPr>
      </w:pPr>
    </w:p>
    <w:p w14:paraId="6C1E79B4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b) Rozmowa kwalifikacyjna (0-20 pkt.), której celem jest sprawdzenie przygotowania i zainteresowań naukowych kandydata w oparciu o złożony projekt badawczy oraz wiedzy ogólnej z danej dyscypliny naukowej. Rozmowa może być przeprowadzona w języku polskim lub za zgodą Przewodniczącego Komisji Rekrutacyjnej w języku angielskim. Końcową ocenę rozmowy kwalifikacyjnej stanowi średnia punktów przyznanych przez każdego z członków Komisji w poszczególnych kategoriach: </w:t>
      </w:r>
    </w:p>
    <w:p w14:paraId="682FCF6C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umiejętność ustnej prezentacji projektu badawczego (bez prezentacji multimedialnej) – 0-5 pkt., </w:t>
      </w:r>
    </w:p>
    <w:p w14:paraId="0D3544C5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umiejętność uzasadnienia/obrony swojego projektu (przesłanek, celu badań, wybranej metodologii, oryginalności rozwiązania problemu badawczego) – 0-5 pkt., </w:t>
      </w:r>
    </w:p>
    <w:p w14:paraId="4F9BE792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umiejętność prowadzenia dyskusji naukowej – 0-5 pkt., </w:t>
      </w:r>
    </w:p>
    <w:p w14:paraId="2B0FBA1C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ogólna wiedza w zakresie danej dyscypliny – 0-5 pkt. </w:t>
      </w:r>
    </w:p>
    <w:p w14:paraId="1563977F" w14:textId="77777777" w:rsidR="006A6FF6" w:rsidRPr="006A6FF6" w:rsidRDefault="006A6FF6" w:rsidP="006A6FF6">
      <w:pPr>
        <w:rPr>
          <w:lang w:val="pl-PL"/>
        </w:rPr>
      </w:pPr>
    </w:p>
    <w:p w14:paraId="28B79604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lastRenderedPageBreak/>
        <w:t xml:space="preserve">c) Ocena aktywności naukowej z ostatnich 5 lat (0-7 pkt.): </w:t>
      </w:r>
    </w:p>
    <w:p w14:paraId="2602D7BE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publikacja w czasopiśmie indeksowanym w bazie </w:t>
      </w:r>
      <w:proofErr w:type="spellStart"/>
      <w:r w:rsidRPr="006A6FF6">
        <w:rPr>
          <w:lang w:val="pl-PL"/>
        </w:rPr>
        <w:t>Scopus</w:t>
      </w:r>
      <w:proofErr w:type="spellEnd"/>
      <w:r w:rsidRPr="006A6FF6">
        <w:rPr>
          <w:lang w:val="pl-PL"/>
        </w:rPr>
        <w:t xml:space="preserve">/Web of Science – 0-2pkt., </w:t>
      </w:r>
    </w:p>
    <w:p w14:paraId="561B6804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publikacja w czasopiśmie naukowym, autorstwo monografii lub rozdziału w monografii w recenzowanym wydawnictwie uwzględnionym w wykazie </w:t>
      </w:r>
      <w:proofErr w:type="spellStart"/>
      <w:r w:rsidRPr="006A6FF6">
        <w:rPr>
          <w:lang w:val="pl-PL"/>
        </w:rPr>
        <w:t>MNiSW</w:t>
      </w:r>
      <w:proofErr w:type="spellEnd"/>
      <w:r w:rsidRPr="006A6FF6">
        <w:rPr>
          <w:lang w:val="pl-PL"/>
        </w:rPr>
        <w:t xml:space="preserve">, nieindeksowanym w bazie </w:t>
      </w:r>
      <w:proofErr w:type="spellStart"/>
      <w:r w:rsidRPr="006A6FF6">
        <w:rPr>
          <w:lang w:val="pl-PL"/>
        </w:rPr>
        <w:t>Scopus</w:t>
      </w:r>
      <w:proofErr w:type="spellEnd"/>
      <w:r w:rsidRPr="006A6FF6">
        <w:rPr>
          <w:lang w:val="pl-PL"/>
        </w:rPr>
        <w:t xml:space="preserve">/Web of Science – 0-1 pkt., </w:t>
      </w:r>
    </w:p>
    <w:p w14:paraId="7472530B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praca w kole naukowym – 0-1 pkt., </w:t>
      </w:r>
    </w:p>
    <w:p w14:paraId="60E8B4EC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udział w konferencji naukowej o charakterze międzynarodowym z wygłoszonym referatem – 0-1 pkt., </w:t>
      </w:r>
    </w:p>
    <w:p w14:paraId="5A71992D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staż krajowy, zagraniczny lub stypendialny (co najmniej 7dni) – 0-1 pkt., </w:t>
      </w:r>
    </w:p>
    <w:p w14:paraId="530E2C36" w14:textId="77777777" w:rsidR="006A6FF6" w:rsidRPr="006A6FF6" w:rsidRDefault="006A6FF6" w:rsidP="006A6FF6">
      <w:pPr>
        <w:rPr>
          <w:lang w:val="pl-PL"/>
        </w:rPr>
      </w:pPr>
      <w:r w:rsidRPr="006A6FF6">
        <w:rPr>
          <w:lang w:val="pl-PL"/>
        </w:rPr>
        <w:t xml:space="preserve">− nagrody lub wyróżnienia naukowe – 0-1 pkt. </w:t>
      </w:r>
    </w:p>
    <w:p w14:paraId="61C2FDCA" w14:textId="77777777" w:rsidR="006A6FF6" w:rsidRPr="006A6FF6" w:rsidRDefault="006A6FF6" w:rsidP="006A6FF6">
      <w:pPr>
        <w:rPr>
          <w:lang w:val="pl-PL"/>
        </w:rPr>
      </w:pPr>
    </w:p>
    <w:p w14:paraId="26FDCD5F" w14:textId="108F16FC" w:rsidR="00690DAB" w:rsidRPr="006A6FF6" w:rsidRDefault="006A6FF6" w:rsidP="006A6FF6">
      <w:pPr>
        <w:rPr>
          <w:lang w:val="pl-PL"/>
        </w:rPr>
      </w:pPr>
      <w:r w:rsidRPr="006A6FF6">
        <w:rPr>
          <w:lang w:val="pl-PL"/>
        </w:rPr>
        <w:t>Wymagane jest dołączenie odpowiednich zaświadczeń/potwierdzeń, a w przypadku publikacji -wydruk.</w:t>
      </w:r>
    </w:p>
    <w:sectPr w:rsidR="00690DAB" w:rsidRPr="006A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D6"/>
    <w:rsid w:val="00690DAB"/>
    <w:rsid w:val="006A6FF6"/>
    <w:rsid w:val="00B64718"/>
    <w:rsid w:val="00B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A820"/>
  <w15:chartTrackingRefBased/>
  <w15:docId w15:val="{03B15A9F-05E6-4CE4-A55E-9F4CEA0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3</cp:revision>
  <dcterms:created xsi:type="dcterms:W3CDTF">2025-01-15T08:28:00Z</dcterms:created>
  <dcterms:modified xsi:type="dcterms:W3CDTF">2025-01-15T08:29:00Z</dcterms:modified>
</cp:coreProperties>
</file>