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F2D2" w14:textId="77777777" w:rsidR="00061114" w:rsidRPr="00061114" w:rsidRDefault="00061114" w:rsidP="00061114">
      <w:pPr>
        <w:rPr>
          <w:lang w:val="pl-PL"/>
        </w:rPr>
      </w:pPr>
      <w:r w:rsidRPr="00061114">
        <w:rPr>
          <w:b/>
          <w:bCs/>
          <w:lang w:val="pl-PL"/>
        </w:rPr>
        <w:t xml:space="preserve">Dyscyplina: MATEMATYKA </w:t>
      </w:r>
    </w:p>
    <w:p w14:paraId="052C1A1D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1. Do Szkoły Doktorskiej może być przyjęta osoba posiadająca tytuł zawodowy magistra lub inny równorzędny, która ukończyła studia II stopnia lub jednolite magisterskie. </w:t>
      </w:r>
    </w:p>
    <w:p w14:paraId="07F28A61" w14:textId="77777777" w:rsidR="00061114" w:rsidRPr="00061114" w:rsidRDefault="00061114" w:rsidP="00061114">
      <w:pPr>
        <w:rPr>
          <w:lang w:val="pl-PL"/>
        </w:rPr>
      </w:pPr>
    </w:p>
    <w:p w14:paraId="7EB3556B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Kandydat przedstawia pisemną zgodę potencjalnego promotora spośród osób znajdujących się w wykazie promotorów na stronie Szkoły Doktorskiej UKEN lub innego pracownika UKEN posiadającego tytuł profesora lub stopień doktora habilitowanego. </w:t>
      </w:r>
    </w:p>
    <w:p w14:paraId="40E0F430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2. Tematyka przyszłych rozpraw doktorskich może dotyczyć następujących zagadnień: </w:t>
      </w:r>
    </w:p>
    <w:p w14:paraId="1104BB45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geometria algebraiczna, </w:t>
      </w:r>
    </w:p>
    <w:p w14:paraId="7D90F3C5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analiza funkcjonalna, </w:t>
      </w:r>
    </w:p>
    <w:p w14:paraId="3CE4C520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algebra, </w:t>
      </w:r>
    </w:p>
    <w:p w14:paraId="2F6B4081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równania funkcyjne, </w:t>
      </w:r>
    </w:p>
    <w:p w14:paraId="40967393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teoria aproksymacji, </w:t>
      </w:r>
    </w:p>
    <w:p w14:paraId="66DC98A7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teoria punktów stałych, </w:t>
      </w:r>
    </w:p>
    <w:p w14:paraId="37D93F19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teoria operatorów, </w:t>
      </w:r>
    </w:p>
    <w:p w14:paraId="2456624C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analiza rzeczywista i topologia, </w:t>
      </w:r>
    </w:p>
    <w:p w14:paraId="2105CAA3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algebra uniwersalna, </w:t>
      </w:r>
    </w:p>
    <w:p w14:paraId="763B9E90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historia matematyki, </w:t>
      </w:r>
    </w:p>
    <w:p w14:paraId="683EE1DC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filozofia matematyki, </w:t>
      </w:r>
    </w:p>
    <w:p w14:paraId="4F6BB653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dydaktyka matematyki. </w:t>
      </w:r>
    </w:p>
    <w:p w14:paraId="723E5C3A" w14:textId="77777777" w:rsidR="00061114" w:rsidRPr="00061114" w:rsidRDefault="00061114" w:rsidP="00061114">
      <w:pPr>
        <w:rPr>
          <w:lang w:val="pl-PL"/>
        </w:rPr>
      </w:pPr>
    </w:p>
    <w:p w14:paraId="025365A6" w14:textId="00117178" w:rsidR="00690DAB" w:rsidRDefault="00061114" w:rsidP="00061114">
      <w:pPr>
        <w:rPr>
          <w:lang w:val="pl-PL"/>
        </w:rPr>
      </w:pPr>
      <w:r w:rsidRPr="00061114">
        <w:rPr>
          <w:lang w:val="pl-PL"/>
        </w:rPr>
        <w:t>2. Postępowanie rekrutacyjne przeprowadzane jest w formie konkursu, w którym ocenie punktowej podlegają:</w:t>
      </w:r>
    </w:p>
    <w:p w14:paraId="194038E0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a) Projekt badawczy (0-15 pkt.), który może być potencjalnym tematem rozprawy doktorskiej. Projekt powinien być napisany w języku polskim lub angielskim i zawierać nie mniej niż 6 tys. znaków bez spacji, łącznie z bibliografią. Ocenia go dwóch recenzentów wyznaczonych przez Przewodniczącego Komisji. Ocenę projektu stanowi średnia punktów przyznanych przez każdego z recenzentów w następujących kategoriach: </w:t>
      </w:r>
    </w:p>
    <w:p w14:paraId="20A9030D" w14:textId="01AE2CDC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sformułowanie celu badania – 0–3 pkt., </w:t>
      </w:r>
    </w:p>
    <w:p w14:paraId="0EE6DCBF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znajomość aktualnego stanu badań – 0–3 pkt., </w:t>
      </w:r>
    </w:p>
    <w:p w14:paraId="49AF48C1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proponowana metodologia – 0–3 pkt., </w:t>
      </w:r>
    </w:p>
    <w:p w14:paraId="6486E4E2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nowatorstwo i wartość poznawcza – 0–3 pkt., </w:t>
      </w:r>
    </w:p>
    <w:p w14:paraId="2607AAF6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możliwości realizacji proponowanego projektu badawczego – 0–3 pkt. </w:t>
      </w:r>
    </w:p>
    <w:p w14:paraId="0F3678AF" w14:textId="77777777" w:rsidR="00061114" w:rsidRPr="00061114" w:rsidRDefault="00061114" w:rsidP="00061114">
      <w:pPr>
        <w:rPr>
          <w:lang w:val="pl-PL"/>
        </w:rPr>
      </w:pPr>
    </w:p>
    <w:p w14:paraId="37C098D5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lastRenderedPageBreak/>
        <w:t xml:space="preserve">b) Rozmowa kwalifikacyjna (0-20 pkt.) Rozmowa dotyczy złożonego projektu badawczego; może być prowadzona w języku polskim lub angielskim. Jej celem jest sprawdzenie ogólnej wiedzy kandydata z danej dyscypliny naukowej. Ocenę rozmowy kwalifikacyjnej stanowi średnia punktów przyznanych przez każdego z członków Komisji w poszczególnych kategoriach: </w:t>
      </w:r>
    </w:p>
    <w:p w14:paraId="72B3F340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umiejętność przedstawienia problemu badawczego na tle stanu badań – 0–5 pkt., </w:t>
      </w:r>
    </w:p>
    <w:p w14:paraId="7C87D036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umiejętność zaproponowania sposobu rozwiązania problemu badawczego – 0–5 pkt., </w:t>
      </w:r>
    </w:p>
    <w:p w14:paraId="014BB277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umiejętność prowadzenia dyskusji naukowej – 0–5 pkt., </w:t>
      </w:r>
    </w:p>
    <w:p w14:paraId="500A22AC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możliwości realizacji proponowanego projektu badawczego – 0–5 pkt. </w:t>
      </w:r>
    </w:p>
    <w:p w14:paraId="2FE0F71B" w14:textId="77777777" w:rsidR="00061114" w:rsidRPr="00061114" w:rsidRDefault="00061114" w:rsidP="00061114">
      <w:pPr>
        <w:rPr>
          <w:lang w:val="pl-PL"/>
        </w:rPr>
      </w:pPr>
    </w:p>
    <w:p w14:paraId="647484D9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c) Ocena aktywności naukowej (0-7 pkt.): </w:t>
      </w:r>
    </w:p>
    <w:p w14:paraId="651961F4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publikacja w czasopiśmie naukowym, autorstwo monografii lub rozdziału w monografii w wydawnictwie uwzględnionym w wykazie </w:t>
      </w:r>
      <w:proofErr w:type="spellStart"/>
      <w:r w:rsidRPr="00061114">
        <w:rPr>
          <w:lang w:val="pl-PL"/>
        </w:rPr>
        <w:t>MNiSzW</w:t>
      </w:r>
      <w:proofErr w:type="spellEnd"/>
      <w:r w:rsidRPr="00061114">
        <w:rPr>
          <w:lang w:val="pl-PL"/>
        </w:rPr>
        <w:t xml:space="preserve"> – 0-3 pkt., </w:t>
      </w:r>
    </w:p>
    <w:p w14:paraId="19CFC7C7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udział w konferencji naukowej z wygłoszonym referatem – 0-2 pkt., </w:t>
      </w:r>
    </w:p>
    <w:p w14:paraId="532FD39D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staż krajowy, zagraniczny lub stypendialny (co najmniej 14 dni) - 1 pkt., </w:t>
      </w:r>
    </w:p>
    <w:p w14:paraId="6CD62252" w14:textId="77777777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 xml:space="preserve">− praca w kole naukowym – 1 pkt. </w:t>
      </w:r>
    </w:p>
    <w:p w14:paraId="6DEFA064" w14:textId="77777777" w:rsidR="00061114" w:rsidRPr="00061114" w:rsidRDefault="00061114" w:rsidP="00061114">
      <w:pPr>
        <w:rPr>
          <w:lang w:val="pl-PL"/>
        </w:rPr>
      </w:pPr>
    </w:p>
    <w:p w14:paraId="383AB986" w14:textId="1CE91F3B" w:rsidR="00061114" w:rsidRPr="00061114" w:rsidRDefault="00061114" w:rsidP="00061114">
      <w:pPr>
        <w:rPr>
          <w:lang w:val="pl-PL"/>
        </w:rPr>
      </w:pPr>
      <w:r w:rsidRPr="00061114">
        <w:rPr>
          <w:lang w:val="pl-PL"/>
        </w:rPr>
        <w:t>Praca w kole oraz staże muszą być udokumentowane. W przypadku publikacji wymagany jest wydruk, w przypadku konferencji – abstrakt; można zgłosić co najwyżej trzy publikacje i co najwyżej dwie konferencje</w:t>
      </w:r>
    </w:p>
    <w:sectPr w:rsidR="00061114" w:rsidRPr="0006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1"/>
    <w:rsid w:val="00061114"/>
    <w:rsid w:val="00690DAB"/>
    <w:rsid w:val="006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D224"/>
  <w15:chartTrackingRefBased/>
  <w15:docId w15:val="{0B02E41F-A528-4545-BDF5-CE83D587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2025-01-15T08:08:00Z</dcterms:created>
  <dcterms:modified xsi:type="dcterms:W3CDTF">2025-01-15T08:11:00Z</dcterms:modified>
</cp:coreProperties>
</file>