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1DBB3" w14:textId="77777777" w:rsidR="007B31B6" w:rsidRDefault="007B31B6">
      <w:pPr>
        <w:widowControl w:val="0"/>
        <w:ind w:right="40"/>
        <w:jc w:val="right"/>
        <w:rPr>
          <w:rFonts w:eastAsia="Arial"/>
          <w:color w:val="000000"/>
          <w:sz w:val="22"/>
          <w:szCs w:val="22"/>
          <w:highlight w:val="yellow"/>
        </w:rPr>
      </w:pPr>
    </w:p>
    <w:p w14:paraId="7BC6266F" w14:textId="77777777" w:rsidR="007B31B6" w:rsidRDefault="007B31B6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……………………………………</w:t>
      </w:r>
    </w:p>
    <w:p w14:paraId="7BBD6A4E" w14:textId="77777777" w:rsidR="007B31B6" w:rsidRDefault="007B31B6">
      <w:pPr>
        <w:tabs>
          <w:tab w:val="left" w:pos="360"/>
        </w:tabs>
        <w:rPr>
          <w:rFonts w:eastAsia="Arial"/>
          <w:color w:val="000000"/>
          <w:sz w:val="22"/>
          <w:szCs w:val="22"/>
        </w:rPr>
      </w:pPr>
      <w:r>
        <w:rPr>
          <w:sz w:val="22"/>
          <w:szCs w:val="22"/>
        </w:rPr>
        <w:t>pieczątka jednostki organizacyjnej</w:t>
      </w:r>
    </w:p>
    <w:p w14:paraId="2CA42773" w14:textId="77777777" w:rsidR="007B31B6" w:rsidRDefault="007B31B6">
      <w:pPr>
        <w:widowControl w:val="0"/>
        <w:ind w:right="40"/>
        <w:jc w:val="center"/>
        <w:rPr>
          <w:rFonts w:eastAsia="Arial"/>
          <w:color w:val="000000"/>
          <w:sz w:val="22"/>
          <w:szCs w:val="22"/>
        </w:rPr>
      </w:pPr>
    </w:p>
    <w:p w14:paraId="308A3D05" w14:textId="77777777" w:rsidR="007B31B6" w:rsidRDefault="007B31B6">
      <w:pPr>
        <w:widowControl w:val="0"/>
        <w:ind w:right="40"/>
        <w:jc w:val="center"/>
        <w:rPr>
          <w:rFonts w:eastAsia="Arial"/>
          <w:b/>
          <w:color w:val="000000"/>
          <w:sz w:val="22"/>
          <w:szCs w:val="22"/>
        </w:rPr>
      </w:pPr>
    </w:p>
    <w:p w14:paraId="4253C547" w14:textId="77777777" w:rsidR="007B31B6" w:rsidRDefault="007B31B6">
      <w:pPr>
        <w:widowControl w:val="0"/>
        <w:ind w:right="40"/>
        <w:jc w:val="center"/>
        <w:rPr>
          <w:rFonts w:eastAsia="Arial"/>
          <w:b/>
          <w:color w:val="000000"/>
          <w:sz w:val="22"/>
          <w:szCs w:val="22"/>
        </w:rPr>
      </w:pPr>
      <w:r>
        <w:rPr>
          <w:rFonts w:eastAsia="Arial"/>
          <w:b/>
          <w:color w:val="000000"/>
          <w:sz w:val="22"/>
          <w:szCs w:val="22"/>
        </w:rPr>
        <w:t>OPIS PRZEDMIOTU</w:t>
      </w:r>
    </w:p>
    <w:p w14:paraId="22C4142E" w14:textId="77777777" w:rsidR="007B31B6" w:rsidRDefault="007B31B6">
      <w:pPr>
        <w:widowControl w:val="0"/>
        <w:ind w:right="40"/>
        <w:jc w:val="center"/>
        <w:rPr>
          <w:rFonts w:eastAsia="Arial"/>
          <w:b/>
          <w:color w:val="000000"/>
          <w:sz w:val="22"/>
          <w:szCs w:val="22"/>
        </w:rPr>
      </w:pPr>
      <w:r>
        <w:rPr>
          <w:rFonts w:eastAsia="Arial"/>
          <w:b/>
          <w:color w:val="000000"/>
          <w:sz w:val="22"/>
          <w:szCs w:val="22"/>
        </w:rPr>
        <w:t xml:space="preserve">ORAZ SPOSOBÓW WERYFIKACJI OSIĄGNIĘCIA EFEKTÓW UCZENIA SIĘ </w:t>
      </w:r>
      <w:r>
        <w:rPr>
          <w:rFonts w:eastAsia="Arial"/>
          <w:b/>
          <w:color w:val="000000"/>
          <w:sz w:val="22"/>
          <w:szCs w:val="22"/>
        </w:rPr>
        <w:br/>
        <w:t>NA POZIOMIE 8 PRK</w:t>
      </w:r>
    </w:p>
    <w:p w14:paraId="5746E4F4" w14:textId="77777777" w:rsidR="007B31B6" w:rsidRDefault="007B31B6">
      <w:pPr>
        <w:widowControl w:val="0"/>
        <w:ind w:right="40"/>
        <w:jc w:val="center"/>
        <w:rPr>
          <w:rFonts w:eastAsia="Arial"/>
          <w:b/>
          <w:color w:val="000000"/>
          <w:sz w:val="22"/>
          <w:szCs w:val="22"/>
        </w:rPr>
      </w:pPr>
    </w:p>
    <w:p w14:paraId="55CA3FFA" w14:textId="77777777" w:rsidR="007B31B6" w:rsidRDefault="007B31B6">
      <w:pPr>
        <w:widowControl w:val="0"/>
        <w:ind w:right="40"/>
        <w:jc w:val="center"/>
        <w:rPr>
          <w:rFonts w:eastAsia="Arial"/>
          <w:color w:val="000000"/>
          <w:sz w:val="22"/>
          <w:szCs w:val="2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4"/>
        <w:gridCol w:w="5902"/>
      </w:tblGrid>
      <w:tr w:rsidR="00000000" w14:paraId="0947D010" w14:textId="77777777">
        <w:trPr>
          <w:trHeight w:val="315"/>
        </w:trPr>
        <w:tc>
          <w:tcPr>
            <w:tcW w:w="9072" w:type="dxa"/>
            <w:gridSpan w:val="2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FFFFFF"/>
            <w:vAlign w:val="center"/>
          </w:tcPr>
          <w:p w14:paraId="4B0543C5" w14:textId="77777777" w:rsidR="007B31B6" w:rsidRDefault="007B31B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OPIS PRZEDMIOTU </w:t>
            </w:r>
          </w:p>
          <w:p w14:paraId="2405B043" w14:textId="77777777" w:rsidR="007B31B6" w:rsidRDefault="007B31B6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000000" w14:paraId="1BF0A069" w14:textId="77777777">
        <w:trPr>
          <w:trHeight w:val="453"/>
        </w:trPr>
        <w:tc>
          <w:tcPr>
            <w:tcW w:w="314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05A17F" w14:textId="77777777" w:rsidR="007B31B6" w:rsidRDefault="007B31B6">
            <w:pPr>
              <w:jc w:val="both"/>
            </w:pPr>
            <w:r>
              <w:rPr>
                <w:b/>
                <w:sz w:val="22"/>
                <w:szCs w:val="22"/>
              </w:rPr>
              <w:t>Nazwa przedmiotu</w:t>
            </w:r>
          </w:p>
        </w:tc>
        <w:tc>
          <w:tcPr>
            <w:tcW w:w="593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double" w:sz="6" w:space="0" w:color="000000"/>
            </w:tcBorders>
            <w:shd w:val="clear" w:color="auto" w:fill="FFFFFF"/>
            <w:vAlign w:val="center"/>
          </w:tcPr>
          <w:p w14:paraId="2A115B02" w14:textId="77777777" w:rsidR="007B31B6" w:rsidRDefault="007B31B6">
            <w:pPr>
              <w:rPr>
                <w:rFonts w:ascii="Arial Narrow" w:hAnsi="Arial Narrow" w:cs="Arial Narrow"/>
              </w:rPr>
            </w:pPr>
            <w:r>
              <w:rPr>
                <w:b/>
                <w:sz w:val="22"/>
                <w:szCs w:val="22"/>
              </w:rPr>
              <w:t>Warsztat specjalistyczny</w:t>
            </w:r>
          </w:p>
          <w:p w14:paraId="76DD1558" w14:textId="77777777" w:rsidR="007B31B6" w:rsidRDefault="007B31B6">
            <w:pPr>
              <w:rPr>
                <w:b/>
                <w:sz w:val="22"/>
                <w:szCs w:val="22"/>
              </w:rPr>
            </w:pPr>
            <w:r>
              <w:rPr>
                <w:rFonts w:ascii="Arial Narrow" w:hAnsi="Arial Narrow" w:cs="Arial Narrow"/>
              </w:rPr>
              <w:t>Linie komórkowe i ich wykorzystanie w badaniach biologicznych</w:t>
            </w:r>
          </w:p>
          <w:p w14:paraId="1A88C4F6" w14:textId="77777777" w:rsidR="007B31B6" w:rsidRDefault="007B31B6">
            <w:pPr>
              <w:rPr>
                <w:b/>
                <w:sz w:val="22"/>
                <w:szCs w:val="22"/>
              </w:rPr>
            </w:pPr>
          </w:p>
          <w:p w14:paraId="0BF8CBBD" w14:textId="77777777" w:rsidR="007B31B6" w:rsidRDefault="007B31B6">
            <w:pPr>
              <w:jc w:val="both"/>
              <w:rPr>
                <w:b/>
                <w:sz w:val="22"/>
                <w:szCs w:val="22"/>
              </w:rPr>
            </w:pPr>
          </w:p>
          <w:p w14:paraId="62ACD83E" w14:textId="77777777" w:rsidR="007B31B6" w:rsidRDefault="007B31B6">
            <w:pPr>
              <w:jc w:val="both"/>
              <w:rPr>
                <w:sz w:val="22"/>
                <w:szCs w:val="22"/>
              </w:rPr>
            </w:pPr>
          </w:p>
        </w:tc>
      </w:tr>
      <w:tr w:rsidR="00000000" w14:paraId="4AC8DC71" w14:textId="77777777">
        <w:trPr>
          <w:trHeight w:val="300"/>
        </w:trPr>
        <w:tc>
          <w:tcPr>
            <w:tcW w:w="314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6A678" w14:textId="77777777" w:rsidR="007B31B6" w:rsidRDefault="007B31B6">
            <w:r>
              <w:rPr>
                <w:b/>
                <w:sz w:val="22"/>
                <w:szCs w:val="22"/>
              </w:rPr>
              <w:t>Język wykładowy</w:t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>(polski i/lub angielski)</w:t>
            </w:r>
          </w:p>
        </w:tc>
        <w:tc>
          <w:tcPr>
            <w:tcW w:w="593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double" w:sz="6" w:space="0" w:color="000000"/>
            </w:tcBorders>
            <w:shd w:val="clear" w:color="auto" w:fill="FFFFFF"/>
            <w:vAlign w:val="center"/>
          </w:tcPr>
          <w:p w14:paraId="266D50FE" w14:textId="77777777" w:rsidR="007B31B6" w:rsidRDefault="007B31B6">
            <w:pPr>
              <w:jc w:val="both"/>
            </w:pPr>
            <w:r>
              <w:rPr>
                <w:sz w:val="22"/>
                <w:szCs w:val="22"/>
              </w:rPr>
              <w:t>język polski</w:t>
            </w:r>
          </w:p>
        </w:tc>
      </w:tr>
      <w:tr w:rsidR="00000000" w14:paraId="545D0540" w14:textId="77777777">
        <w:trPr>
          <w:trHeight w:val="300"/>
        </w:trPr>
        <w:tc>
          <w:tcPr>
            <w:tcW w:w="314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BDAF6C" w14:textId="77777777" w:rsidR="007B31B6" w:rsidRDefault="007B31B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Tytuł /stopień naukowy (zawodowy) oraz</w:t>
            </w:r>
          </w:p>
          <w:p w14:paraId="05FF89F2" w14:textId="77777777" w:rsidR="007B31B6" w:rsidRDefault="007B31B6">
            <w:r>
              <w:rPr>
                <w:b/>
                <w:sz w:val="22"/>
                <w:szCs w:val="22"/>
              </w:rPr>
              <w:t>imię i nazwisko prowadzącego (prowadzących)</w:t>
            </w:r>
          </w:p>
        </w:tc>
        <w:tc>
          <w:tcPr>
            <w:tcW w:w="593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double" w:sz="6" w:space="0" w:color="000000"/>
            </w:tcBorders>
            <w:shd w:val="clear" w:color="auto" w:fill="FFFFFF"/>
            <w:vAlign w:val="center"/>
          </w:tcPr>
          <w:p w14:paraId="375BB5DF" w14:textId="77777777" w:rsidR="007B31B6" w:rsidRDefault="007B31B6">
            <w:pPr>
              <w:jc w:val="both"/>
            </w:pPr>
            <w:r>
              <w:rPr>
                <w:sz w:val="22"/>
                <w:szCs w:val="22"/>
              </w:rPr>
              <w:t>dr hab. Anna Barbasz, prof. UKEN</w:t>
            </w:r>
          </w:p>
        </w:tc>
      </w:tr>
      <w:tr w:rsidR="00000000" w14:paraId="18DC273D" w14:textId="77777777">
        <w:trPr>
          <w:trHeight w:val="300"/>
        </w:trPr>
        <w:tc>
          <w:tcPr>
            <w:tcW w:w="314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9F4EE8" w14:textId="77777777" w:rsidR="007B31B6" w:rsidRDefault="007B31B6">
            <w:r>
              <w:rPr>
                <w:sz w:val="22"/>
                <w:szCs w:val="22"/>
              </w:rPr>
              <w:t>rok akademicki/ nr semestru</w:t>
            </w:r>
          </w:p>
        </w:tc>
        <w:tc>
          <w:tcPr>
            <w:tcW w:w="593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double" w:sz="6" w:space="0" w:color="000000"/>
            </w:tcBorders>
            <w:shd w:val="clear" w:color="auto" w:fill="FFFFFF"/>
            <w:vAlign w:val="center"/>
          </w:tcPr>
          <w:p w14:paraId="6DA2C7E9" w14:textId="77777777" w:rsidR="007B31B6" w:rsidRDefault="007B31B6">
            <w:pPr>
              <w:jc w:val="both"/>
            </w:pPr>
            <w:r>
              <w:rPr>
                <w:sz w:val="22"/>
                <w:szCs w:val="22"/>
              </w:rPr>
              <w:t>2023/2024, semestr 6</w:t>
            </w:r>
          </w:p>
        </w:tc>
      </w:tr>
      <w:tr w:rsidR="00000000" w14:paraId="6745B94C" w14:textId="77777777">
        <w:trPr>
          <w:trHeight w:val="300"/>
        </w:trPr>
        <w:tc>
          <w:tcPr>
            <w:tcW w:w="314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A10B9" w14:textId="77777777" w:rsidR="007B31B6" w:rsidRDefault="007B31B6">
            <w:r>
              <w:rPr>
                <w:b/>
                <w:sz w:val="22"/>
                <w:szCs w:val="22"/>
              </w:rPr>
              <w:t xml:space="preserve">Liczba godzin dydaktycznych </w:t>
            </w:r>
          </w:p>
        </w:tc>
        <w:tc>
          <w:tcPr>
            <w:tcW w:w="593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double" w:sz="6" w:space="0" w:color="000000"/>
            </w:tcBorders>
            <w:shd w:val="clear" w:color="auto" w:fill="FFFFFF"/>
            <w:vAlign w:val="center"/>
          </w:tcPr>
          <w:p w14:paraId="58C06092" w14:textId="77777777" w:rsidR="007B31B6" w:rsidRDefault="007B31B6">
            <w:pPr>
              <w:jc w:val="both"/>
            </w:pPr>
            <w:r>
              <w:rPr>
                <w:sz w:val="22"/>
                <w:szCs w:val="22"/>
              </w:rPr>
              <w:t>12</w:t>
            </w:r>
          </w:p>
        </w:tc>
      </w:tr>
      <w:tr w:rsidR="00000000" w14:paraId="2A033C65" w14:textId="77777777">
        <w:trPr>
          <w:trHeight w:val="300"/>
        </w:trPr>
        <w:tc>
          <w:tcPr>
            <w:tcW w:w="314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E286E7" w14:textId="77777777" w:rsidR="007B31B6" w:rsidRDefault="007B31B6">
            <w:r>
              <w:rPr>
                <w:b/>
                <w:sz w:val="22"/>
                <w:szCs w:val="22"/>
              </w:rPr>
              <w:t>Liczba punktów ECTS</w:t>
            </w:r>
          </w:p>
        </w:tc>
        <w:tc>
          <w:tcPr>
            <w:tcW w:w="593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double" w:sz="6" w:space="0" w:color="000000"/>
            </w:tcBorders>
            <w:shd w:val="clear" w:color="auto" w:fill="FFFFFF"/>
            <w:vAlign w:val="center"/>
          </w:tcPr>
          <w:p w14:paraId="255E3425" w14:textId="77777777" w:rsidR="007B31B6" w:rsidRDefault="007B31B6">
            <w:pPr>
              <w:jc w:val="both"/>
            </w:pPr>
            <w:r>
              <w:rPr>
                <w:sz w:val="22"/>
                <w:szCs w:val="22"/>
              </w:rPr>
              <w:t>2</w:t>
            </w:r>
          </w:p>
        </w:tc>
      </w:tr>
      <w:tr w:rsidR="00000000" w14:paraId="48900721" w14:textId="77777777">
        <w:trPr>
          <w:trHeight w:val="300"/>
        </w:trPr>
        <w:tc>
          <w:tcPr>
            <w:tcW w:w="314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30B712" w14:textId="77777777" w:rsidR="007B31B6" w:rsidRDefault="007B31B6">
            <w:r>
              <w:rPr>
                <w:b/>
                <w:sz w:val="22"/>
                <w:szCs w:val="22"/>
              </w:rPr>
              <w:t xml:space="preserve">Warunki zaliczenia </w:t>
            </w:r>
          </w:p>
        </w:tc>
        <w:tc>
          <w:tcPr>
            <w:tcW w:w="593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double" w:sz="6" w:space="0" w:color="000000"/>
            </w:tcBorders>
            <w:shd w:val="clear" w:color="auto" w:fill="FFFFFF"/>
            <w:vAlign w:val="center"/>
          </w:tcPr>
          <w:p w14:paraId="3CEC1936" w14:textId="77777777" w:rsidR="007B31B6" w:rsidRDefault="007B31B6">
            <w:pPr>
              <w:jc w:val="both"/>
            </w:pPr>
            <w:r>
              <w:rPr>
                <w:sz w:val="22"/>
                <w:szCs w:val="22"/>
              </w:rPr>
              <w:t>udział w dyskusji</w:t>
            </w:r>
          </w:p>
        </w:tc>
      </w:tr>
      <w:tr w:rsidR="00000000" w14:paraId="322695B6" w14:textId="77777777">
        <w:trPr>
          <w:trHeight w:val="300"/>
        </w:trPr>
        <w:tc>
          <w:tcPr>
            <w:tcW w:w="314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6E6703" w14:textId="77777777" w:rsidR="007B31B6" w:rsidRDefault="007B31B6">
            <w:r>
              <w:rPr>
                <w:b/>
                <w:sz w:val="22"/>
                <w:szCs w:val="22"/>
              </w:rPr>
              <w:t xml:space="preserve">Sposób realizacji treści w przypadku studentów niepolskojęzycznych </w:t>
            </w:r>
            <w:r>
              <w:rPr>
                <w:bCs/>
                <w:sz w:val="22"/>
                <w:szCs w:val="22"/>
              </w:rPr>
              <w:t>(jeśli językiem wykładowym jest wyłącznie język polski)</w:t>
            </w:r>
          </w:p>
        </w:tc>
        <w:tc>
          <w:tcPr>
            <w:tcW w:w="593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double" w:sz="6" w:space="0" w:color="000000"/>
            </w:tcBorders>
            <w:shd w:val="clear" w:color="auto" w:fill="FFFFFF"/>
            <w:vAlign w:val="center"/>
          </w:tcPr>
          <w:p w14:paraId="1E72B8C1" w14:textId="77777777" w:rsidR="007B31B6" w:rsidRDefault="007B31B6">
            <w:pPr>
              <w:jc w:val="both"/>
            </w:pPr>
            <w:r>
              <w:rPr>
                <w:sz w:val="22"/>
                <w:szCs w:val="22"/>
              </w:rPr>
              <w:t>Przekazanie materiałów dydaktycznych w języku angielskim.</w:t>
            </w:r>
          </w:p>
        </w:tc>
      </w:tr>
      <w:tr w:rsidR="00000000" w14:paraId="31A67B10" w14:textId="77777777">
        <w:trPr>
          <w:trHeight w:val="300"/>
        </w:trPr>
        <w:tc>
          <w:tcPr>
            <w:tcW w:w="314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4A398B" w14:textId="77777777" w:rsidR="007B31B6" w:rsidRDefault="007B31B6">
            <w:r>
              <w:rPr>
                <w:b/>
                <w:sz w:val="22"/>
                <w:szCs w:val="22"/>
              </w:rPr>
              <w:t>Sposób weryfikacji efektów uczenia się w przypadku studentów niepolsko</w:t>
            </w:r>
            <w:r>
              <w:rPr>
                <w:b/>
                <w:sz w:val="22"/>
                <w:szCs w:val="22"/>
              </w:rPr>
              <w:softHyphen/>
              <w:t xml:space="preserve">języcznych </w:t>
            </w:r>
            <w:r>
              <w:rPr>
                <w:bCs/>
                <w:sz w:val="22"/>
                <w:szCs w:val="22"/>
              </w:rPr>
              <w:t>(jeśli językiem wykładowym jest wyłącznie język polski)</w:t>
            </w:r>
          </w:p>
        </w:tc>
        <w:tc>
          <w:tcPr>
            <w:tcW w:w="593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double" w:sz="6" w:space="0" w:color="000000"/>
            </w:tcBorders>
            <w:shd w:val="clear" w:color="auto" w:fill="FFFFFF"/>
            <w:vAlign w:val="center"/>
          </w:tcPr>
          <w:p w14:paraId="738E357A" w14:textId="77777777" w:rsidR="007B31B6" w:rsidRDefault="007B31B6">
            <w:pPr>
              <w:jc w:val="both"/>
            </w:pPr>
            <w:r>
              <w:rPr>
                <w:sz w:val="22"/>
                <w:szCs w:val="22"/>
              </w:rPr>
              <w:t>Spotkanie dyskusyjne w języku angielskim.</w:t>
            </w:r>
          </w:p>
        </w:tc>
      </w:tr>
      <w:tr w:rsidR="00000000" w14:paraId="156F7D62" w14:textId="77777777">
        <w:trPr>
          <w:trHeight w:val="442"/>
        </w:trPr>
        <w:tc>
          <w:tcPr>
            <w:tcW w:w="9072" w:type="dxa"/>
            <w:gridSpan w:val="2"/>
            <w:tcBorders>
              <w:top w:val="single" w:sz="4" w:space="0" w:color="000000"/>
              <w:left w:val="double" w:sz="6" w:space="0" w:color="000000"/>
              <w:right w:val="double" w:sz="6" w:space="0" w:color="000000"/>
            </w:tcBorders>
            <w:shd w:val="clear" w:color="auto" w:fill="FFFFFF"/>
            <w:vAlign w:val="center"/>
          </w:tcPr>
          <w:p w14:paraId="5ACBE476" w14:textId="77777777" w:rsidR="007B31B6" w:rsidRDefault="007B31B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Treści realizowane podczas zajęć </w:t>
            </w:r>
          </w:p>
          <w:p w14:paraId="5B085FED" w14:textId="77777777" w:rsidR="007B31B6" w:rsidRDefault="007B31B6">
            <w:pPr>
              <w:jc w:val="both"/>
              <w:rPr>
                <w:b/>
                <w:sz w:val="22"/>
                <w:szCs w:val="22"/>
              </w:rPr>
            </w:pPr>
          </w:p>
          <w:p w14:paraId="6B54F7DD" w14:textId="77777777" w:rsidR="007B31B6" w:rsidRDefault="007B31B6">
            <w:pPr>
              <w:numPr>
                <w:ilvl w:val="0"/>
                <w:numId w:val="2"/>
              </w:num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Metody hodowli ludzkich komórek. Kontaminacja w hodowlach komórek in vitro.</w:t>
            </w:r>
          </w:p>
          <w:p w14:paraId="35B5C149" w14:textId="77777777" w:rsidR="007B31B6" w:rsidRDefault="007B31B6">
            <w:pPr>
              <w:numPr>
                <w:ilvl w:val="0"/>
                <w:numId w:val="2"/>
              </w:num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Możliwości wykorzystywania hodowli in vitro komórek zwierzęcych do badania wpływu ksenobiotyków. </w:t>
            </w:r>
          </w:p>
          <w:p w14:paraId="18C4EBDB" w14:textId="77777777" w:rsidR="007B31B6" w:rsidRDefault="007B31B6">
            <w:pPr>
              <w:numPr>
                <w:ilvl w:val="0"/>
                <w:numId w:val="2"/>
              </w:num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Modele doświadczalne np. w badaniach onkologicznych.</w:t>
            </w:r>
          </w:p>
          <w:p w14:paraId="5598FE55" w14:textId="77777777" w:rsidR="007B31B6" w:rsidRDefault="007B31B6">
            <w:pPr>
              <w:numPr>
                <w:ilvl w:val="0"/>
                <w:numId w:val="2"/>
              </w:num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Zastosowanie hodowli komórkowych w badaniach biofarmaceutycznych. </w:t>
            </w:r>
          </w:p>
          <w:p w14:paraId="6961F18C" w14:textId="77777777" w:rsidR="007B31B6" w:rsidRDefault="007B31B6">
            <w:pPr>
              <w:numPr>
                <w:ilvl w:val="0"/>
                <w:numId w:val="2"/>
              </w:num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Metody badania dostępności biologicznej</w:t>
            </w:r>
          </w:p>
          <w:p w14:paraId="6D7C6C90" w14:textId="77777777" w:rsidR="007B31B6" w:rsidRDefault="007B31B6">
            <w:pPr>
              <w:numPr>
                <w:ilvl w:val="0"/>
                <w:numId w:val="2"/>
              </w:num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Charakterystyka wybranych modeli in vitro do badań np. nad rakiem jajnika, badaniach mechanizmów przebiegu chorób neurodegeneracyjnych. </w:t>
            </w:r>
          </w:p>
          <w:p w14:paraId="595DAEF2" w14:textId="77777777" w:rsidR="007B31B6" w:rsidRDefault="007B31B6">
            <w:pPr>
              <w:numPr>
                <w:ilvl w:val="0"/>
                <w:numId w:val="2"/>
              </w:num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Omówienie przykładów wykorzystania linii komórkowych w najnowszych badaniach.  </w:t>
            </w:r>
          </w:p>
          <w:p w14:paraId="7A0D63A2" w14:textId="77777777" w:rsidR="007B31B6" w:rsidRDefault="007B31B6">
            <w:pPr>
              <w:jc w:val="both"/>
              <w:rPr>
                <w:b/>
                <w:sz w:val="22"/>
                <w:szCs w:val="22"/>
              </w:rPr>
            </w:pPr>
          </w:p>
          <w:p w14:paraId="6EB4495E" w14:textId="77777777" w:rsidR="007B31B6" w:rsidRDefault="007B31B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000000" w14:paraId="01838174" w14:textId="77777777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FFFFFF"/>
            <w:vAlign w:val="center"/>
          </w:tcPr>
          <w:p w14:paraId="7129D12B" w14:textId="77777777" w:rsidR="007B31B6" w:rsidRDefault="007B31B6">
            <w:pPr>
              <w:jc w:val="both"/>
              <w:rPr>
                <w:bCs/>
                <w:color w:val="0D0D0D"/>
                <w:sz w:val="20"/>
                <w:szCs w:val="20"/>
                <w:lang w:val="en-US"/>
              </w:rPr>
            </w:pPr>
            <w:r>
              <w:rPr>
                <w:b/>
                <w:sz w:val="22"/>
                <w:szCs w:val="22"/>
              </w:rPr>
              <w:t xml:space="preserve">Literatura </w:t>
            </w:r>
          </w:p>
          <w:p w14:paraId="6C4A6424" w14:textId="77777777" w:rsidR="007B31B6" w:rsidRDefault="007B31B6">
            <w:pPr>
              <w:pStyle w:val="NormalnyWeb"/>
              <w:numPr>
                <w:ilvl w:val="0"/>
                <w:numId w:val="1"/>
              </w:numPr>
              <w:shd w:val="clear" w:color="auto" w:fill="FFFFFF"/>
              <w:spacing w:after="0"/>
              <w:rPr>
                <w:bCs/>
                <w:color w:val="0D0D0D"/>
                <w:sz w:val="20"/>
                <w:szCs w:val="20"/>
              </w:rPr>
            </w:pPr>
            <w:r>
              <w:rPr>
                <w:bCs/>
                <w:color w:val="0D0D0D"/>
                <w:sz w:val="20"/>
                <w:szCs w:val="20"/>
                <w:lang w:val="en-US"/>
              </w:rPr>
              <w:t>Barbasz A</w:t>
            </w:r>
            <w:r>
              <w:rPr>
                <w:color w:val="0D0D0D"/>
                <w:sz w:val="20"/>
                <w:szCs w:val="20"/>
                <w:lang w:val="en-US"/>
              </w:rPr>
              <w:t xml:space="preserve">., Oćwieja M., Barbasz J.(2015) </w:t>
            </w:r>
            <w:r>
              <w:rPr>
                <w:bCs/>
                <w:color w:val="0D0D0D"/>
                <w:sz w:val="20"/>
                <w:szCs w:val="20"/>
                <w:lang w:val="en-US"/>
              </w:rPr>
              <w:t xml:space="preserve">Cytotoxic activity of highly purified silver nanoparticles sol </w:t>
            </w:r>
            <w:r>
              <w:rPr>
                <w:bCs/>
                <w:color w:val="0D0D0D"/>
                <w:sz w:val="20"/>
                <w:szCs w:val="20"/>
                <w:lang w:val="en-US"/>
              </w:rPr>
              <w:lastRenderedPageBreak/>
              <w:t>against cells of human immune system</w:t>
            </w:r>
            <w:r>
              <w:rPr>
                <w:color w:val="0D0D0D"/>
                <w:sz w:val="20"/>
                <w:szCs w:val="20"/>
                <w:lang w:val="en-US"/>
              </w:rPr>
              <w:t xml:space="preserve">. </w:t>
            </w:r>
            <w:r>
              <w:rPr>
                <w:color w:val="0D0D0D"/>
                <w:sz w:val="20"/>
                <w:szCs w:val="20"/>
              </w:rPr>
              <w:t xml:space="preserve">Applied Biochemistry and Biotechnology 176(3); 817-834 </w:t>
            </w:r>
          </w:p>
          <w:p w14:paraId="7CF0AD4A" w14:textId="77777777" w:rsidR="007B31B6" w:rsidRDefault="007B31B6">
            <w:pPr>
              <w:pStyle w:val="NormalnyWeb"/>
              <w:numPr>
                <w:ilvl w:val="0"/>
                <w:numId w:val="1"/>
              </w:numPr>
              <w:shd w:val="clear" w:color="auto" w:fill="FFFFFF"/>
              <w:spacing w:before="0"/>
              <w:rPr>
                <w:color w:val="0D0D0D"/>
                <w:sz w:val="20"/>
                <w:szCs w:val="20"/>
              </w:rPr>
            </w:pPr>
            <w:r>
              <w:rPr>
                <w:bCs/>
                <w:color w:val="0D0D0D"/>
                <w:sz w:val="20"/>
                <w:szCs w:val="20"/>
              </w:rPr>
              <w:t xml:space="preserve"> Barbasz, A</w:t>
            </w:r>
            <w:r>
              <w:rPr>
                <w:color w:val="0D0D0D"/>
                <w:sz w:val="20"/>
                <w:szCs w:val="20"/>
              </w:rPr>
              <w:t xml:space="preserve">.,Oćwieja, M., Walas, S. (2017). </w:t>
            </w:r>
            <w:r>
              <w:rPr>
                <w:bCs/>
                <w:color w:val="0D0D0D"/>
                <w:sz w:val="20"/>
                <w:szCs w:val="20"/>
                <w:lang w:val="en-US"/>
              </w:rPr>
              <w:t>Toxicological effects of three types of silver nanoparticles and their salt precursors acting on human U-937 and HL-60 cells</w:t>
            </w:r>
            <w:r>
              <w:rPr>
                <w:color w:val="0D0D0D"/>
                <w:sz w:val="20"/>
                <w:szCs w:val="20"/>
                <w:lang w:val="en-US"/>
              </w:rPr>
              <w:t>. </w:t>
            </w:r>
            <w:r>
              <w:rPr>
                <w:i/>
                <w:iCs/>
                <w:color w:val="0D0D0D"/>
                <w:sz w:val="20"/>
                <w:szCs w:val="20"/>
                <w:lang w:val="en-US"/>
              </w:rPr>
              <w:t>Toxicology Mechanisms and Methods</w:t>
            </w:r>
            <w:r>
              <w:rPr>
                <w:color w:val="0D0D0D"/>
                <w:sz w:val="20"/>
                <w:szCs w:val="20"/>
                <w:lang w:val="en-US"/>
              </w:rPr>
              <w:t>, </w:t>
            </w:r>
            <w:r>
              <w:rPr>
                <w:i/>
                <w:iCs/>
                <w:color w:val="0D0D0D"/>
                <w:sz w:val="20"/>
                <w:szCs w:val="20"/>
                <w:lang w:val="en-US"/>
              </w:rPr>
              <w:t>27</w:t>
            </w:r>
            <w:r>
              <w:rPr>
                <w:color w:val="0D0D0D"/>
                <w:sz w:val="20"/>
                <w:szCs w:val="20"/>
                <w:lang w:val="en-US"/>
              </w:rPr>
              <w:t>(1), 58-71.</w:t>
            </w:r>
          </w:p>
          <w:p w14:paraId="3834E599" w14:textId="77777777" w:rsidR="007B31B6" w:rsidRDefault="007B31B6">
            <w:pPr>
              <w:pStyle w:val="NormalnyWeb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color w:val="0D0D0D"/>
                <w:sz w:val="20"/>
                <w:szCs w:val="20"/>
                <w:lang w:val="en-US"/>
              </w:rPr>
            </w:pPr>
            <w:r>
              <w:rPr>
                <w:color w:val="0D0D0D"/>
                <w:sz w:val="20"/>
                <w:szCs w:val="20"/>
              </w:rPr>
              <w:t>Czyżowska A., </w:t>
            </w:r>
            <w:r>
              <w:rPr>
                <w:rStyle w:val="Pogrubienie"/>
                <w:b w:val="0"/>
                <w:color w:val="0D0D0D"/>
                <w:sz w:val="20"/>
                <w:szCs w:val="20"/>
                <w:bdr w:val="none" w:sz="0" w:space="0" w:color="000000"/>
              </w:rPr>
              <w:t>Barbasz A.</w:t>
            </w:r>
            <w:r>
              <w:rPr>
                <w:color w:val="0D0D0D"/>
                <w:sz w:val="20"/>
                <w:szCs w:val="20"/>
              </w:rPr>
              <w:t> 2020. </w:t>
            </w:r>
            <w:r>
              <w:rPr>
                <w:color w:val="0D0D0D"/>
                <w:sz w:val="20"/>
                <w:szCs w:val="20"/>
                <w:lang w:val="en-US"/>
              </w:rPr>
              <w:t>Cytotoxicity of zinc oxide nanoparticles to innate and adaptive human immune cells. </w:t>
            </w:r>
            <w:r>
              <w:rPr>
                <w:rStyle w:val="Uwydatnienie"/>
                <w:color w:val="0D0D0D"/>
                <w:sz w:val="20"/>
                <w:szCs w:val="20"/>
                <w:bdr w:val="none" w:sz="0" w:space="0" w:color="000000"/>
                <w:lang w:val="en-US"/>
              </w:rPr>
              <w:t>Journal of Applied Toxicology</w:t>
            </w:r>
            <w:r>
              <w:rPr>
                <w:color w:val="0D0D0D"/>
                <w:sz w:val="20"/>
                <w:szCs w:val="20"/>
                <w:lang w:val="en-US"/>
              </w:rPr>
              <w:t> 1-13.</w:t>
            </w:r>
          </w:p>
          <w:p w14:paraId="6058DFD8" w14:textId="77777777" w:rsidR="007B31B6" w:rsidRDefault="007B31B6">
            <w:pPr>
              <w:pStyle w:val="NormalnyWeb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rStyle w:val="Pogrubienie"/>
                <w:b w:val="0"/>
                <w:color w:val="0D0D0D"/>
                <w:sz w:val="20"/>
                <w:szCs w:val="20"/>
                <w:bdr w:val="none" w:sz="0" w:space="0" w:color="000000"/>
              </w:rPr>
            </w:pPr>
            <w:r>
              <w:rPr>
                <w:color w:val="0D0D0D"/>
                <w:sz w:val="20"/>
                <w:szCs w:val="20"/>
                <w:lang w:val="en-US"/>
              </w:rPr>
              <w:t>Czyżowska A., </w:t>
            </w:r>
            <w:r>
              <w:rPr>
                <w:rStyle w:val="Pogrubienie"/>
                <w:b w:val="0"/>
                <w:color w:val="0D0D0D"/>
                <w:sz w:val="20"/>
                <w:szCs w:val="20"/>
                <w:bdr w:val="none" w:sz="0" w:space="0" w:color="000000"/>
                <w:lang w:val="en-US"/>
              </w:rPr>
              <w:t>Barbasz A.</w:t>
            </w:r>
            <w:r>
              <w:rPr>
                <w:color w:val="0D0D0D"/>
                <w:sz w:val="20"/>
                <w:szCs w:val="20"/>
                <w:lang w:val="en-US"/>
              </w:rPr>
              <w:t> 2020. A review: zinc oxide nanoparticles – friends or enemies? </w:t>
            </w:r>
            <w:r>
              <w:rPr>
                <w:rStyle w:val="Uwydatnienie"/>
                <w:color w:val="0D0D0D"/>
                <w:sz w:val="20"/>
                <w:szCs w:val="20"/>
                <w:bdr w:val="none" w:sz="0" w:space="0" w:color="000000"/>
                <w:lang w:val="en-US"/>
              </w:rPr>
              <w:t>International Journal of Environmental Health Research,</w:t>
            </w:r>
            <w:r>
              <w:rPr>
                <w:color w:val="0D0D0D"/>
                <w:sz w:val="20"/>
                <w:szCs w:val="20"/>
                <w:lang w:val="en-US"/>
              </w:rPr>
              <w:t> </w:t>
            </w:r>
          </w:p>
          <w:p w14:paraId="4C904353" w14:textId="77777777" w:rsidR="007B31B6" w:rsidRDefault="007B31B6">
            <w:pPr>
              <w:pStyle w:val="NormalnyWeb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Style w:val="Pogrubienie"/>
                <w:b w:val="0"/>
                <w:color w:val="0D0D0D"/>
                <w:sz w:val="20"/>
                <w:szCs w:val="20"/>
                <w:bdr w:val="none" w:sz="0" w:space="0" w:color="000000"/>
              </w:rPr>
              <w:t>Barbasz A.</w:t>
            </w:r>
            <w:r>
              <w:rPr>
                <w:color w:val="0D0D0D"/>
                <w:sz w:val="20"/>
                <w:szCs w:val="20"/>
              </w:rPr>
              <w:t xml:space="preserve">, Czyżowska A., Piergies N., Ocwieja M. 2021. </w:t>
            </w:r>
            <w:r>
              <w:rPr>
                <w:color w:val="0D0D0D"/>
                <w:sz w:val="20"/>
                <w:szCs w:val="20"/>
                <w:lang w:val="en-US"/>
              </w:rPr>
              <w:t>Design cytotoxicity: The effect of silver nanoparticles stabilized by selected antioxidants on melanoma cells. </w:t>
            </w:r>
            <w:r>
              <w:rPr>
                <w:rStyle w:val="Uwydatnienie"/>
                <w:color w:val="0D0D0D"/>
                <w:sz w:val="20"/>
                <w:szCs w:val="20"/>
                <w:bdr w:val="none" w:sz="0" w:space="0" w:color="000000"/>
                <w:lang w:val="en-US"/>
              </w:rPr>
              <w:t>Journal of Applied Toxicology</w:t>
            </w:r>
            <w:r>
              <w:rPr>
                <w:color w:val="0D0D0D"/>
                <w:sz w:val="20"/>
                <w:szCs w:val="20"/>
                <w:lang w:val="en-US"/>
              </w:rPr>
              <w:t xml:space="preserve">, 1–18. </w:t>
            </w:r>
          </w:p>
          <w:p w14:paraId="5573A988" w14:textId="77777777" w:rsidR="007B31B6" w:rsidRDefault="007B31B6">
            <w:pPr>
              <w:pStyle w:val="NormalnyWeb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color w:val="222222"/>
                <w:sz w:val="20"/>
                <w:szCs w:val="20"/>
                <w:shd w:val="clear" w:color="auto" w:fill="FFFFFF"/>
              </w:rPr>
              <w:t>Jabłońska-Trypuć, A., Wołejko, E., Wydro, U., &amp; Butarewicz, A. (2017). Zastosowanie hodowli in vitro komórek ludzkich w badaniach pestycydów. </w:t>
            </w:r>
            <w:r>
              <w:rPr>
                <w:i/>
                <w:iCs/>
                <w:color w:val="222222"/>
                <w:sz w:val="20"/>
                <w:szCs w:val="20"/>
                <w:shd w:val="clear" w:color="auto" w:fill="FFFFFF"/>
              </w:rPr>
              <w:t>Budownictwo i Inżynieria Środowiska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>, </w:t>
            </w:r>
            <w:r>
              <w:rPr>
                <w:i/>
                <w:iCs/>
                <w:color w:val="222222"/>
                <w:sz w:val="20"/>
                <w:szCs w:val="20"/>
                <w:shd w:val="clear" w:color="auto" w:fill="FFFFFF"/>
              </w:rPr>
              <w:t>8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>(1).</w:t>
            </w:r>
          </w:p>
          <w:p w14:paraId="513BB334" w14:textId="77777777" w:rsidR="007B31B6" w:rsidRDefault="007B31B6">
            <w:pPr>
              <w:pStyle w:val="NormalnyWeb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color w:val="222222"/>
                <w:sz w:val="20"/>
                <w:szCs w:val="20"/>
                <w:shd w:val="clear" w:color="auto" w:fill="FFFFFF"/>
              </w:rPr>
              <w:t>Stasiak, P., &amp; Sznitowska, M. (2010). Zastosowanie hodowli komórkowych w badaniach biofarmaceutycznych. </w:t>
            </w:r>
            <w:r>
              <w:rPr>
                <w:i/>
                <w:iCs/>
                <w:color w:val="222222"/>
                <w:sz w:val="20"/>
                <w:szCs w:val="20"/>
                <w:shd w:val="clear" w:color="auto" w:fill="FFFFFF"/>
              </w:rPr>
              <w:t>Farm Pol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>, </w:t>
            </w:r>
            <w:r>
              <w:rPr>
                <w:i/>
                <w:iCs/>
                <w:color w:val="222222"/>
                <w:sz w:val="20"/>
                <w:szCs w:val="20"/>
                <w:shd w:val="clear" w:color="auto" w:fill="FFFFFF"/>
              </w:rPr>
              <w:t>66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>(3), 228-234.</w:t>
            </w:r>
          </w:p>
          <w:p w14:paraId="7A56A1D6" w14:textId="77777777" w:rsidR="007B31B6" w:rsidRDefault="007B31B6">
            <w:pPr>
              <w:pStyle w:val="NormalnyWeb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color w:val="222222"/>
                <w:sz w:val="20"/>
                <w:szCs w:val="20"/>
                <w:shd w:val="clear" w:color="auto" w:fill="FFFFFF"/>
              </w:rPr>
              <w:t>Tudrej, P., Kujawa, K. A., Cortez, A. J., &amp; Lisowska, K. M. (2019). Charakterystyka modeli in vitro do badań nad rakiem jajnika. </w:t>
            </w:r>
            <w:r>
              <w:rPr>
                <w:i/>
                <w:iCs/>
                <w:color w:val="222222"/>
                <w:sz w:val="20"/>
                <w:szCs w:val="20"/>
                <w:shd w:val="clear" w:color="auto" w:fill="FFFFFF"/>
              </w:rPr>
              <w:t>Onkologia w Praktyce Klinicznej-Edukacja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>, </w:t>
            </w:r>
            <w:r>
              <w:rPr>
                <w:i/>
                <w:iCs/>
                <w:color w:val="222222"/>
                <w:sz w:val="20"/>
                <w:szCs w:val="20"/>
                <w:shd w:val="clear" w:color="auto" w:fill="FFFFFF"/>
              </w:rPr>
              <w:t>5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>(5), 314-328.</w:t>
            </w:r>
          </w:p>
          <w:p w14:paraId="688B87AD" w14:textId="77777777" w:rsidR="007B31B6" w:rsidRDefault="007B31B6">
            <w:pPr>
              <w:pStyle w:val="NormalnyWeb"/>
              <w:numPr>
                <w:ilvl w:val="0"/>
                <w:numId w:val="1"/>
              </w:numPr>
              <w:shd w:val="clear" w:color="auto" w:fill="FFFFFF"/>
              <w:spacing w:before="0" w:after="0"/>
              <w:rPr>
                <w:color w:val="0D0D0D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  <w:shd w:val="clear" w:color="auto" w:fill="FFFFFF"/>
              </w:rPr>
              <w:t>Słońska, A., &amp; Cymerys, J. (2017). Zastosowanie trójwymiarowych hodowli komórek nerwowych w badaniach mechanizmów przebiegu chorób neurodegeneracyjnych. </w:t>
            </w:r>
            <w:r>
              <w:rPr>
                <w:i/>
                <w:iCs/>
                <w:color w:val="222222"/>
                <w:sz w:val="20"/>
                <w:szCs w:val="20"/>
                <w:shd w:val="clear" w:color="auto" w:fill="FFFFFF"/>
              </w:rPr>
              <w:t>Advances in Hygiene &amp; Experimental Medicine/Postepy Higieny i Medycyny Doswiadczalnej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>, </w:t>
            </w:r>
            <w:r>
              <w:rPr>
                <w:i/>
                <w:iCs/>
                <w:color w:val="222222"/>
                <w:sz w:val="20"/>
                <w:szCs w:val="20"/>
                <w:shd w:val="clear" w:color="auto" w:fill="FFFFFF"/>
              </w:rPr>
              <w:t>71</w:t>
            </w:r>
            <w:r>
              <w:rPr>
                <w:color w:val="222222"/>
                <w:sz w:val="20"/>
                <w:szCs w:val="20"/>
                <w:shd w:val="clear" w:color="auto" w:fill="FFFFFF"/>
              </w:rPr>
              <w:t>.</w:t>
            </w:r>
          </w:p>
          <w:p w14:paraId="4BE0D848" w14:textId="77777777" w:rsidR="007B31B6" w:rsidRDefault="007B31B6">
            <w:pPr>
              <w:jc w:val="both"/>
              <w:rPr>
                <w:color w:val="0D0D0D"/>
                <w:sz w:val="20"/>
                <w:szCs w:val="20"/>
              </w:rPr>
            </w:pPr>
          </w:p>
          <w:p w14:paraId="0BD6133B" w14:textId="77777777" w:rsidR="007B31B6" w:rsidRDefault="007B31B6">
            <w:pPr>
              <w:jc w:val="both"/>
              <w:rPr>
                <w:sz w:val="20"/>
                <w:szCs w:val="20"/>
              </w:rPr>
            </w:pPr>
          </w:p>
          <w:p w14:paraId="2EAC8671" w14:textId="77777777" w:rsidR="007B31B6" w:rsidRDefault="007B31B6">
            <w:pPr>
              <w:jc w:val="both"/>
              <w:rPr>
                <w:b/>
                <w:sz w:val="22"/>
                <w:szCs w:val="22"/>
              </w:rPr>
            </w:pPr>
          </w:p>
          <w:p w14:paraId="2BAE65E2" w14:textId="77777777" w:rsidR="007B31B6" w:rsidRDefault="007B31B6">
            <w:pPr>
              <w:jc w:val="both"/>
              <w:rPr>
                <w:b/>
                <w:sz w:val="22"/>
                <w:szCs w:val="22"/>
              </w:rPr>
            </w:pPr>
          </w:p>
          <w:p w14:paraId="5C8757DB" w14:textId="77777777" w:rsidR="007B31B6" w:rsidRDefault="007B31B6">
            <w:pPr>
              <w:jc w:val="both"/>
              <w:rPr>
                <w:b/>
                <w:sz w:val="22"/>
                <w:szCs w:val="22"/>
              </w:rPr>
            </w:pPr>
          </w:p>
          <w:p w14:paraId="4F4254B5" w14:textId="77777777" w:rsidR="007B31B6" w:rsidRDefault="007B31B6">
            <w:pPr>
              <w:jc w:val="both"/>
              <w:rPr>
                <w:b/>
                <w:sz w:val="22"/>
                <w:szCs w:val="22"/>
              </w:rPr>
            </w:pPr>
          </w:p>
          <w:p w14:paraId="3EB89007" w14:textId="77777777" w:rsidR="007B31B6" w:rsidRDefault="007B31B6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497A2214" w14:textId="77777777" w:rsidR="007B31B6" w:rsidRDefault="007B31B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D7A2251" w14:textId="77777777" w:rsidR="007B31B6" w:rsidRDefault="007B31B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2D09F4B7" w14:textId="77777777" w:rsidR="007B31B6" w:rsidRDefault="007B31B6"/>
    <w:p w14:paraId="71FDE573" w14:textId="77777777" w:rsidR="007B31B6" w:rsidRDefault="007B31B6">
      <w:pPr>
        <w:rPr>
          <w:b/>
          <w:bCs/>
        </w:rPr>
      </w:pPr>
      <w:r>
        <w:rPr>
          <w:b/>
          <w:bCs/>
        </w:rPr>
        <w:t xml:space="preserve">EFEKTY I WERYFIKACJA </w:t>
      </w:r>
    </w:p>
    <w:p w14:paraId="3458515F" w14:textId="77777777" w:rsidR="007B31B6" w:rsidRDefault="007B31B6">
      <w:pPr>
        <w:rPr>
          <w:b/>
          <w:bCs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132"/>
        <w:gridCol w:w="3895"/>
        <w:gridCol w:w="4329"/>
      </w:tblGrid>
      <w:tr w:rsidR="00000000" w14:paraId="4FAAB972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66AA0" w14:textId="77777777" w:rsidR="007B31B6" w:rsidRDefault="007B31B6">
            <w:pPr>
              <w:pStyle w:val="DomylneA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Symbol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500C" w14:textId="77777777" w:rsidR="007B31B6" w:rsidRDefault="007B31B6">
            <w:pPr>
              <w:pStyle w:val="DomylneA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 w:eastAsia="en-US"/>
              </w:rPr>
              <w:t xml:space="preserve">Opis efektu uczenia się w Szkole Doktorskiej* 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CA09F" w14:textId="77777777" w:rsidR="007B31B6" w:rsidRDefault="007B31B6">
            <w:pPr>
              <w:pStyle w:val="DomylneA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 w:eastAsia="en-US"/>
              </w:rPr>
              <w:t>Formy weryfikacji osiągnięcia efektów uczenia się w ramach przedmiotu</w:t>
            </w:r>
          </w:p>
        </w:tc>
      </w:tr>
      <w:tr w:rsidR="00000000" w14:paraId="5CBCD12A" w14:textId="77777777">
        <w:trPr>
          <w:trHeight w:val="1052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92167" w14:textId="77777777" w:rsidR="007B31B6" w:rsidRDefault="007B31B6">
            <w:pPr>
              <w:pStyle w:val="DomylneA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W1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36834" w14:textId="77777777" w:rsidR="007B31B6" w:rsidRDefault="007B31B6">
            <w:pPr>
              <w:pStyle w:val="DomylneA"/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zna i rozumie – w stopniu umożliwiającym rewizję istniejących paradygmatów – światowy dorobek w danej dziedzinie, obejmujący podstawy teoretyczne i zagadnienia ogólne oraz wybrane zagadnienia szczegółowe właściwe dla dyscypliny realizowanej w ramach szkoły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14911" w14:textId="77777777" w:rsidR="007B31B6" w:rsidRDefault="007B31B6">
            <w:pPr>
              <w:pStyle w:val="DomylneA"/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e-lerning</w:t>
            </w:r>
          </w:p>
        </w:tc>
      </w:tr>
      <w:tr w:rsidR="00000000" w14:paraId="2CDC8ABD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16BE" w14:textId="77777777" w:rsidR="007B31B6" w:rsidRDefault="007B31B6">
            <w:pPr>
              <w:pStyle w:val="DomylneA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W2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252BC" w14:textId="77777777" w:rsidR="007B31B6" w:rsidRDefault="007B31B6">
            <w:pPr>
              <w:pStyle w:val="DomylneA"/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zna i rozumie główne tendencje rozwojowe właściwe dla dyscypliny realizowanej w ramach szkoły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CDCBA" w14:textId="77777777" w:rsidR="007B31B6" w:rsidRDefault="007B31B6">
            <w:pPr>
              <w:pStyle w:val="DomylneA"/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e-lerning</w:t>
            </w:r>
          </w:p>
        </w:tc>
      </w:tr>
      <w:tr w:rsidR="00000000" w14:paraId="08F91910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2CDC" w14:textId="77777777" w:rsidR="007B31B6" w:rsidRDefault="007B31B6">
            <w:pPr>
              <w:pStyle w:val="DomylneA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W3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CB03E" w14:textId="77777777" w:rsidR="007B31B6" w:rsidRDefault="007B31B6">
            <w:pPr>
              <w:pStyle w:val="DomylneA"/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zna i rozumie metodologię badań w danej dziedzinie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F677" w14:textId="77777777" w:rsidR="007B31B6" w:rsidRDefault="007B31B6">
            <w:pPr>
              <w:pStyle w:val="DomylneA"/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e-lerning, udział w dyskusji</w:t>
            </w:r>
          </w:p>
        </w:tc>
      </w:tr>
      <w:tr w:rsidR="00000000" w14:paraId="27B0D36F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32885" w14:textId="77777777" w:rsidR="007B31B6" w:rsidRDefault="007B31B6">
            <w:pPr>
              <w:pStyle w:val="DomylneA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W7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4883" w14:textId="77777777" w:rsidR="007B31B6" w:rsidRDefault="007B31B6">
            <w:pPr>
              <w:pStyle w:val="DomylneA"/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zna i rozumie podstawowe zasady transferu wiedzy do sfery gospodarczej i społecznej oraz komercjalizacji wyników działalności naukowej lub artystycznej i know-how związanego z tymi wynikami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8AD65" w14:textId="77777777" w:rsidR="007B31B6" w:rsidRDefault="007B31B6">
            <w:pPr>
              <w:pStyle w:val="DomylneA"/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e-lerning</w:t>
            </w:r>
          </w:p>
        </w:tc>
      </w:tr>
      <w:tr w:rsidR="00000000" w14:paraId="2904CC66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C17B3" w14:textId="77777777" w:rsidR="007B31B6" w:rsidRDefault="007B31B6">
            <w:pPr>
              <w:pStyle w:val="DomylneA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U1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07B7" w14:textId="77777777" w:rsidR="007B31B6" w:rsidRDefault="007B31B6">
            <w:pPr>
              <w:pStyle w:val="DomylneA"/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potrafi wykorzystywać wiedzę z różnych dziedzin nauki i sztuki, formułowania i innowacyjnego rozwiązywania złożonych problemów lub wykonywania zadań o charakterze badawczym lub artystycznym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2E194" w14:textId="77777777" w:rsidR="007B31B6" w:rsidRDefault="007B31B6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udział w dyskusji</w:t>
            </w:r>
          </w:p>
        </w:tc>
      </w:tr>
      <w:tr w:rsidR="00000000" w14:paraId="228AAC9E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23288" w14:textId="77777777" w:rsidR="007B31B6" w:rsidRDefault="007B31B6">
            <w:pPr>
              <w:pStyle w:val="DomylneA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U2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95E35" w14:textId="77777777" w:rsidR="007B31B6" w:rsidRDefault="007B31B6">
            <w:pPr>
              <w:pStyle w:val="DomylneA"/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potrafi wykorzystywać w pracy badawczej / twórczej wiedzę metodologiczną, a w szczególności definiować cel i przedmiot badań, formułować hipotezę badawczą lub artystyczną, rozwijać metody, techniki i narzędzia badawcze lub artystyczne oraz twórczo je stosować, wnioskować na podstawie wyników badań /działań artystycznych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FBFB8" w14:textId="77777777" w:rsidR="007B31B6" w:rsidRDefault="007B31B6">
            <w:pPr>
              <w:pStyle w:val="DomylneA"/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udział w dyskusji</w:t>
            </w:r>
          </w:p>
        </w:tc>
      </w:tr>
      <w:tr w:rsidR="00000000" w14:paraId="448D8CE1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CFAC5" w14:textId="77777777" w:rsidR="007B31B6" w:rsidRDefault="007B31B6">
            <w:pPr>
              <w:pStyle w:val="DomylneA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U3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D3B72" w14:textId="77777777" w:rsidR="007B31B6" w:rsidRDefault="007B31B6">
            <w:pPr>
              <w:pStyle w:val="DomylneA"/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 xml:space="preserve">potrafi wykorzystując posiadaną wiedzę, dokonywać krytycznej analizy i oceny rezultatów badań, działalności eksperckiej i innych prac o charakterze twórczym i ich wkładu w rozwój wiedzy, kultury i sztuki 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E631F" w14:textId="77777777" w:rsidR="007B31B6" w:rsidRDefault="007B31B6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udział w dyskusji</w:t>
            </w:r>
          </w:p>
        </w:tc>
      </w:tr>
      <w:tr w:rsidR="00000000" w14:paraId="2195F01A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6DCE" w14:textId="77777777" w:rsidR="007B31B6" w:rsidRDefault="007B31B6">
            <w:pPr>
              <w:pStyle w:val="DomylneA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U5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B380D" w14:textId="77777777" w:rsidR="007B31B6" w:rsidRDefault="007B31B6">
            <w:pPr>
              <w:pStyle w:val="DomylneA"/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potrafi komunikować się na tematy specjalistyczne w stopniu umożliwiającym aktywne uczestnictwo w międzynarodowym środowisku naukowym lub artystycznym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217C0" w14:textId="77777777" w:rsidR="007B31B6" w:rsidRDefault="007B31B6">
            <w:pPr>
              <w:pStyle w:val="DomylneA"/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udział w dyskusji</w:t>
            </w:r>
          </w:p>
        </w:tc>
      </w:tr>
      <w:tr w:rsidR="00000000" w14:paraId="0A02DD52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8D6A3" w14:textId="77777777" w:rsidR="007B31B6" w:rsidRDefault="007B31B6">
            <w:pPr>
              <w:pStyle w:val="DomylneA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U7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EDFBE" w14:textId="77777777" w:rsidR="007B31B6" w:rsidRDefault="007B31B6">
            <w:pPr>
              <w:pStyle w:val="DomylneA"/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potrafi inicjować debatę i uczestniczyć w dyskursie naukowym i artystycznym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A3C29" w14:textId="77777777" w:rsidR="007B31B6" w:rsidRDefault="007B31B6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udział w dyskusji</w:t>
            </w:r>
          </w:p>
        </w:tc>
      </w:tr>
      <w:tr w:rsidR="00000000" w14:paraId="30CA69E6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13FF9" w14:textId="77777777" w:rsidR="007B31B6" w:rsidRDefault="007B31B6">
            <w:pPr>
              <w:pStyle w:val="DomylneA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U8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FFB3E" w14:textId="77777777" w:rsidR="007B31B6" w:rsidRDefault="007B31B6">
            <w:pPr>
              <w:pStyle w:val="DomylneA"/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potrafi posługiwać się językiem obcym w stopniu umożliwiającym uczestnictwo w międzynarodowym środowisku naukowym, artystycznym i zawodowym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62D73" w14:textId="77777777" w:rsidR="007B31B6" w:rsidRDefault="007B31B6">
            <w:pPr>
              <w:pStyle w:val="DomylneA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udział w dyskusji</w:t>
            </w:r>
          </w:p>
        </w:tc>
      </w:tr>
      <w:tr w:rsidR="00000000" w14:paraId="39452F72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D5D37" w14:textId="77777777" w:rsidR="007B31B6" w:rsidRDefault="007B31B6">
            <w:pPr>
              <w:pStyle w:val="DomylneA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K1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DFDD2" w14:textId="77777777" w:rsidR="007B31B6" w:rsidRDefault="007B31B6">
            <w:pPr>
              <w:pStyle w:val="DomylneA"/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jest gotów do krytycznej oceny dorobku właściwej dyscypliny realizowanej w ramach szkoły oraz własnego wkładu w jej rozwój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F17EA" w14:textId="77777777" w:rsidR="007B31B6" w:rsidRDefault="007B31B6">
            <w:pPr>
              <w:pStyle w:val="DomylneA"/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udział w dyskusji</w:t>
            </w:r>
          </w:p>
        </w:tc>
      </w:tr>
      <w:tr w:rsidR="00000000" w14:paraId="02C1189B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9EE2C" w14:textId="77777777" w:rsidR="007B31B6" w:rsidRDefault="007B31B6">
            <w:pPr>
              <w:pStyle w:val="DomylneA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K2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2EBF1" w14:textId="77777777" w:rsidR="007B31B6" w:rsidRDefault="007B31B6">
            <w:pPr>
              <w:pStyle w:val="DomylneA"/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jest gotów do uznawania znaczenia wiedzy / sztuki w rozwiązywaniu problemów teoretycznych i praktycznych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27435" w14:textId="77777777" w:rsidR="007B31B6" w:rsidRDefault="007B31B6">
            <w:pPr>
              <w:pStyle w:val="DomylneA"/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udział w dyskusji</w:t>
            </w:r>
          </w:p>
        </w:tc>
      </w:tr>
      <w:tr w:rsidR="00000000" w14:paraId="0DDB045E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9B5D2" w14:textId="77777777" w:rsidR="007B31B6" w:rsidRDefault="007B31B6">
            <w:pPr>
              <w:pStyle w:val="DomylneA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K3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10604" w14:textId="77777777" w:rsidR="007B31B6" w:rsidRDefault="007B31B6">
            <w:pPr>
              <w:pStyle w:val="DomylneA"/>
            </w:pPr>
            <w:r>
              <w:rPr>
                <w:rFonts w:ascii="Times New Roman" w:hAnsi="Times New Roman" w:cs="Times New Roman"/>
                <w:sz w:val="24"/>
                <w:szCs w:val="24"/>
                <w:lang w:val="pl-PL" w:eastAsia="en-US"/>
              </w:rPr>
              <w:t>jest gotów do wypełniania zobowiązań społecznych badaczy i twórców, a także inicjowania działań na rzecz interesu publicznego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0B84B" w14:textId="77777777" w:rsidR="007B31B6" w:rsidRDefault="007B31B6">
            <w:pPr>
              <w:pStyle w:val="Akapitzlist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udział w dyskusji</w:t>
            </w:r>
          </w:p>
        </w:tc>
      </w:tr>
    </w:tbl>
    <w:p w14:paraId="26434BF0" w14:textId="77777777" w:rsidR="007B31B6" w:rsidRDefault="007B31B6">
      <w:r>
        <w:t xml:space="preserve">* niepotrzebne efekty wykasować </w:t>
      </w:r>
    </w:p>
    <w:p w14:paraId="7EC4FC18" w14:textId="77777777" w:rsidR="007B31B6" w:rsidRDefault="007B31B6"/>
    <w:p w14:paraId="6608109D" w14:textId="77777777" w:rsidR="007B31B6" w:rsidRDefault="007B31B6"/>
    <w:p w14:paraId="5E724674" w14:textId="77777777" w:rsidR="007B31B6" w:rsidRDefault="007B31B6"/>
    <w:p w14:paraId="6105ADCD" w14:textId="77777777" w:rsidR="007B31B6" w:rsidRDefault="007B31B6"/>
    <w:p w14:paraId="31E96D43" w14:textId="77777777" w:rsidR="007B31B6" w:rsidRDefault="007B31B6"/>
    <w:p w14:paraId="63116A5F" w14:textId="77777777" w:rsidR="007B31B6" w:rsidRDefault="007B31B6"/>
    <w:p w14:paraId="2E2A9FD8" w14:textId="77777777" w:rsidR="007B31B6" w:rsidRDefault="007B31B6">
      <w:pPr>
        <w:jc w:val="center"/>
        <w:rPr>
          <w:sz w:val="16"/>
          <w:szCs w:val="22"/>
        </w:rPr>
      </w:pPr>
      <w:r>
        <w:rPr>
          <w:sz w:val="16"/>
          <w:szCs w:val="22"/>
        </w:rPr>
        <w:t>.....................................................                   ......................................................................................................................................</w:t>
      </w:r>
    </w:p>
    <w:p w14:paraId="3442F970" w14:textId="77777777" w:rsidR="007B31B6" w:rsidRDefault="007B31B6">
      <w:pPr>
        <w:rPr>
          <w:sz w:val="16"/>
          <w:szCs w:val="22"/>
        </w:rPr>
      </w:pPr>
      <w:r>
        <w:rPr>
          <w:sz w:val="16"/>
          <w:szCs w:val="22"/>
        </w:rPr>
        <w:t xml:space="preserve">                            data                                                             podpis prowadzącego (prowadzących) zajęcia w ramach przedmiotu</w:t>
      </w:r>
    </w:p>
    <w:p w14:paraId="0867FA9C" w14:textId="77777777" w:rsidR="007B31B6" w:rsidRDefault="007B31B6">
      <w:pPr>
        <w:rPr>
          <w:sz w:val="16"/>
          <w:szCs w:val="22"/>
        </w:rPr>
      </w:pPr>
      <w:r>
        <w:rPr>
          <w:sz w:val="16"/>
          <w:szCs w:val="22"/>
        </w:rPr>
        <w:t xml:space="preserve"> </w:t>
      </w:r>
    </w:p>
    <w:p w14:paraId="1805D9A3" w14:textId="77777777" w:rsidR="007B31B6" w:rsidRDefault="007B31B6">
      <w:pPr>
        <w:rPr>
          <w:sz w:val="16"/>
          <w:szCs w:val="22"/>
        </w:rPr>
      </w:pPr>
    </w:p>
    <w:p w14:paraId="337B0713" w14:textId="77777777" w:rsidR="007B31B6" w:rsidRDefault="007B31B6">
      <w:pPr>
        <w:rPr>
          <w:sz w:val="16"/>
          <w:szCs w:val="22"/>
        </w:rPr>
      </w:pPr>
    </w:p>
    <w:p w14:paraId="11CB3AF9" w14:textId="77777777" w:rsidR="007B31B6" w:rsidRDefault="007B31B6">
      <w:pPr>
        <w:rPr>
          <w:sz w:val="16"/>
          <w:szCs w:val="22"/>
        </w:rPr>
      </w:pPr>
    </w:p>
    <w:p w14:paraId="3CA2187B" w14:textId="77777777" w:rsidR="007B31B6" w:rsidRDefault="007B31B6">
      <w:pPr>
        <w:rPr>
          <w:sz w:val="16"/>
          <w:szCs w:val="22"/>
        </w:rPr>
      </w:pPr>
    </w:p>
    <w:p w14:paraId="3191FF1A" w14:textId="77777777" w:rsidR="007B31B6" w:rsidRDefault="007B31B6">
      <w:pPr>
        <w:rPr>
          <w:sz w:val="16"/>
          <w:szCs w:val="22"/>
        </w:rPr>
      </w:pPr>
    </w:p>
    <w:p w14:paraId="48F448CF" w14:textId="77777777" w:rsidR="007B31B6" w:rsidRDefault="007B31B6">
      <w:pPr>
        <w:rPr>
          <w:sz w:val="16"/>
          <w:szCs w:val="22"/>
        </w:rPr>
      </w:pPr>
    </w:p>
    <w:p w14:paraId="5E9A0829" w14:textId="77777777" w:rsidR="007B31B6" w:rsidRDefault="007B31B6">
      <w:pPr>
        <w:rPr>
          <w:sz w:val="16"/>
          <w:szCs w:val="22"/>
        </w:rPr>
      </w:pPr>
    </w:p>
    <w:p w14:paraId="5637FA5D" w14:textId="77777777" w:rsidR="007B31B6" w:rsidRDefault="007B31B6">
      <w:pPr>
        <w:rPr>
          <w:sz w:val="16"/>
          <w:szCs w:val="22"/>
        </w:rPr>
      </w:pPr>
      <w:r>
        <w:rPr>
          <w:sz w:val="16"/>
          <w:szCs w:val="22"/>
        </w:rPr>
        <w:t xml:space="preserve">          .....................................................                   ......................................................................................................................................</w:t>
      </w:r>
    </w:p>
    <w:p w14:paraId="3C8CAA16" w14:textId="77777777" w:rsidR="007B31B6" w:rsidRDefault="007B31B6">
      <w:r>
        <w:rPr>
          <w:sz w:val="16"/>
          <w:szCs w:val="22"/>
        </w:rPr>
        <w:t xml:space="preserve">                            data                                                                                      podpis Dyrektora Szkoły Doktorskiej</w:t>
      </w: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</w:abstractNum>
  <w:abstractNum w:abstractNumId="1" w15:restartNumberingAfterBreak="0">
    <w:nsid w:val="00000002"/>
    <w:multiLevelType w:val="singleLevel"/>
    <w:tmpl w:val="00000002"/>
    <w:name w:val="WW8Num3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24883752">
    <w:abstractNumId w:val="0"/>
  </w:num>
  <w:num w:numId="2" w16cid:durableId="98377989">
    <w:abstractNumId w:val="1"/>
  </w:num>
  <w:num w:numId="3" w16cid:durableId="1733195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7C2"/>
    <w:rsid w:val="005107C2"/>
    <w:rsid w:val="007B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504DA47"/>
  <w15:chartTrackingRefBased/>
  <w15:docId w15:val="{99F1849F-149D-4AB8-9807-36BE8773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3z0">
    <w:name w:val="WW8Num23z0"/>
    <w:rPr>
      <w:rFonts w:ascii="Arial" w:hAnsi="Arial" w:cs="Arial" w:hint="default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ascii="Symbol" w:hAnsi="Symbol" w:cs="Symbol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7z0">
    <w:name w:val="WW8Num37z0"/>
    <w:rPr>
      <w:rFonts w:ascii="Symbol" w:hAnsi="Symbol" w:cs="Symbol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character" w:styleId="Uwydatnienie">
    <w:name w:val="Emphasis"/>
    <w:qFormat/>
    <w:rPr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Akapitzlist">
    <w:name w:val="List Paragraph"/>
    <w:basedOn w:val="Normalny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DomylneA">
    <w:name w:val="Domyślne 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Helvetica Neue" w:eastAsia="Arial Unicode MS" w:hAnsi="Helvetica Neue" w:cs="Arial Unicode MS"/>
      <w:color w:val="000000"/>
      <w:sz w:val="22"/>
      <w:szCs w:val="22"/>
      <w:bdr w:val="none" w:sz="0" w:space="0" w:color="000000"/>
      <w:lang w:val="en-US" w:eastAsia="zh-CN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923</Words>
  <Characters>5540</Characters>
  <Application>Microsoft Office Word</Application>
  <DocSecurity>0</DocSecurity>
  <Lines>46</Lines>
  <Paragraphs>12</Paragraphs>
  <ScaleCrop>false</ScaleCrop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</dc:creator>
  <cp:keywords/>
  <cp:lastModifiedBy>Piotr Andrusiewicz</cp:lastModifiedBy>
  <cp:revision>2</cp:revision>
  <cp:lastPrinted>2019-10-22T09:02:00Z</cp:lastPrinted>
  <dcterms:created xsi:type="dcterms:W3CDTF">2025-09-22T14:20:00Z</dcterms:created>
  <dcterms:modified xsi:type="dcterms:W3CDTF">2025-09-22T14:20:00Z</dcterms:modified>
</cp:coreProperties>
</file>