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22DAD" w14:textId="77777777" w:rsidR="00C63EF4" w:rsidRPr="00C63EF4" w:rsidRDefault="00C63EF4" w:rsidP="00C63EF4">
      <w:pPr>
        <w:pStyle w:val="Default"/>
      </w:pPr>
      <w:r w:rsidRPr="00C63EF4">
        <w:rPr>
          <w:b/>
          <w:bCs/>
        </w:rPr>
        <w:t xml:space="preserve">Dyscyplina: NAUKI PRAWNE </w:t>
      </w:r>
    </w:p>
    <w:p w14:paraId="6A5F102D" w14:textId="77777777" w:rsidR="00C63EF4" w:rsidRPr="00C63EF4" w:rsidRDefault="00C63EF4" w:rsidP="00C63EF4">
      <w:pPr>
        <w:pStyle w:val="Default"/>
      </w:pPr>
      <w:r w:rsidRPr="00C63EF4">
        <w:t xml:space="preserve">1. Do Szkoły Doktorskiej w zakresie dyscypliny nauki prawne może być przyjęta osoba posiadająca tytuł zawodowy magistra lub inny równorzędny, która ukończyła jednolite magisterskie na kierunku Prawo (lub innym) oraz studia II stopnia (np. na kierunku Administracja lub innym). </w:t>
      </w:r>
    </w:p>
    <w:p w14:paraId="5BFC7AE1" w14:textId="77777777" w:rsidR="00C63EF4" w:rsidRPr="00C63EF4" w:rsidRDefault="00C63EF4" w:rsidP="00C63EF4">
      <w:pPr>
        <w:pStyle w:val="Default"/>
      </w:pPr>
      <w:r w:rsidRPr="00C63EF4">
        <w:t xml:space="preserve">2. Doktorant może realizować temat pracy doktorskiej w następujących zakresach: </w:t>
      </w:r>
    </w:p>
    <w:p w14:paraId="0002FAE2" w14:textId="7F1F7B91" w:rsidR="00C63EF4" w:rsidRPr="00C63EF4" w:rsidRDefault="00C63EF4" w:rsidP="00C63EF4">
      <w:pPr>
        <w:pStyle w:val="Default"/>
        <w:numPr>
          <w:ilvl w:val="0"/>
          <w:numId w:val="9"/>
        </w:numPr>
      </w:pPr>
      <w:r w:rsidRPr="00C63EF4">
        <w:t xml:space="preserve">Teoria i filozofia prawa, </w:t>
      </w:r>
    </w:p>
    <w:p w14:paraId="0D5F6E38" w14:textId="1C4A6128" w:rsidR="00C63EF4" w:rsidRPr="00C63EF4" w:rsidRDefault="00C63EF4" w:rsidP="00C63EF4">
      <w:pPr>
        <w:pStyle w:val="Default"/>
        <w:numPr>
          <w:ilvl w:val="0"/>
          <w:numId w:val="9"/>
        </w:numPr>
      </w:pPr>
      <w:r w:rsidRPr="00C63EF4">
        <w:t xml:space="preserve">Prawo administracyjne ogólne, </w:t>
      </w:r>
    </w:p>
    <w:p w14:paraId="21142414" w14:textId="6C7DF36D" w:rsidR="00C63EF4" w:rsidRPr="00C63EF4" w:rsidRDefault="00C63EF4" w:rsidP="00C63EF4">
      <w:pPr>
        <w:pStyle w:val="Default"/>
        <w:numPr>
          <w:ilvl w:val="0"/>
          <w:numId w:val="9"/>
        </w:numPr>
      </w:pPr>
      <w:r w:rsidRPr="00C63EF4">
        <w:t xml:space="preserve">Materialne prawo administracyjne, </w:t>
      </w:r>
    </w:p>
    <w:p w14:paraId="1CB8CA61" w14:textId="36F089C5" w:rsidR="00C63EF4" w:rsidRPr="00C63EF4" w:rsidRDefault="00C63EF4" w:rsidP="00C63EF4">
      <w:pPr>
        <w:pStyle w:val="Default"/>
        <w:numPr>
          <w:ilvl w:val="0"/>
          <w:numId w:val="9"/>
        </w:numPr>
      </w:pPr>
      <w:r w:rsidRPr="00C63EF4">
        <w:t xml:space="preserve">Postępowanie administracyjne – ogólne i szczególne, </w:t>
      </w:r>
    </w:p>
    <w:p w14:paraId="7838A26B" w14:textId="44E21711" w:rsidR="00C63EF4" w:rsidRPr="00C63EF4" w:rsidRDefault="00C63EF4" w:rsidP="00C63EF4">
      <w:pPr>
        <w:pStyle w:val="Default"/>
        <w:numPr>
          <w:ilvl w:val="0"/>
          <w:numId w:val="9"/>
        </w:numPr>
      </w:pPr>
      <w:r w:rsidRPr="00C63EF4">
        <w:t xml:space="preserve">Postępowania administracyjne jurysdykcyjne i niejurysdykcyjne, </w:t>
      </w:r>
    </w:p>
    <w:p w14:paraId="2FBBEDC1" w14:textId="309BD279" w:rsidR="00C63EF4" w:rsidRPr="00C63EF4" w:rsidRDefault="00C63EF4" w:rsidP="00C63EF4">
      <w:pPr>
        <w:pStyle w:val="Default"/>
        <w:numPr>
          <w:ilvl w:val="0"/>
          <w:numId w:val="9"/>
        </w:numPr>
      </w:pPr>
      <w:r w:rsidRPr="00C63EF4">
        <w:t xml:space="preserve">Postępowanie </w:t>
      </w:r>
      <w:proofErr w:type="spellStart"/>
      <w:r w:rsidRPr="00C63EF4">
        <w:t>sądowoadministracyjne</w:t>
      </w:r>
      <w:proofErr w:type="spellEnd"/>
      <w:r w:rsidRPr="00C63EF4">
        <w:t xml:space="preserve">, </w:t>
      </w:r>
    </w:p>
    <w:p w14:paraId="579CBF2E" w14:textId="64E649FD" w:rsidR="00C63EF4" w:rsidRPr="00C63EF4" w:rsidRDefault="00C63EF4" w:rsidP="00C63EF4">
      <w:pPr>
        <w:pStyle w:val="Default"/>
        <w:numPr>
          <w:ilvl w:val="0"/>
          <w:numId w:val="9"/>
        </w:numPr>
      </w:pPr>
      <w:r w:rsidRPr="00C63EF4">
        <w:t xml:space="preserve">Publiczne prawo gospodarcze, </w:t>
      </w:r>
    </w:p>
    <w:p w14:paraId="335F3F26" w14:textId="71B16D89" w:rsidR="00C63EF4" w:rsidRPr="00C63EF4" w:rsidRDefault="00C63EF4" w:rsidP="00C63EF4">
      <w:pPr>
        <w:pStyle w:val="Default"/>
        <w:numPr>
          <w:ilvl w:val="0"/>
          <w:numId w:val="9"/>
        </w:numPr>
      </w:pPr>
      <w:r w:rsidRPr="00C63EF4">
        <w:t xml:space="preserve">Prawo samorządowe (samorząd terytorialny, samorząd zawodowy, samorząd gospodarczy), </w:t>
      </w:r>
    </w:p>
    <w:p w14:paraId="68065CCF" w14:textId="3EC41FEC" w:rsidR="00C63EF4" w:rsidRPr="00C63EF4" w:rsidRDefault="00C63EF4" w:rsidP="00C63EF4">
      <w:pPr>
        <w:pStyle w:val="Default"/>
        <w:numPr>
          <w:ilvl w:val="0"/>
          <w:numId w:val="9"/>
        </w:numPr>
      </w:pPr>
      <w:r w:rsidRPr="00C63EF4">
        <w:t xml:space="preserve">Prawo konstytucyjne, </w:t>
      </w:r>
    </w:p>
    <w:p w14:paraId="57236064" w14:textId="05098405" w:rsidR="00C63EF4" w:rsidRPr="00C63EF4" w:rsidRDefault="00C63EF4" w:rsidP="00C63EF4">
      <w:pPr>
        <w:pStyle w:val="Default"/>
        <w:numPr>
          <w:ilvl w:val="0"/>
          <w:numId w:val="9"/>
        </w:numPr>
      </w:pPr>
      <w:r w:rsidRPr="00C63EF4">
        <w:t xml:space="preserve">Prawo ustrojowe, </w:t>
      </w:r>
    </w:p>
    <w:p w14:paraId="0335CB73" w14:textId="591A5AC7" w:rsidR="00C63EF4" w:rsidRPr="00C63EF4" w:rsidRDefault="00C63EF4" w:rsidP="00C63EF4">
      <w:pPr>
        <w:pStyle w:val="Default"/>
        <w:numPr>
          <w:ilvl w:val="0"/>
          <w:numId w:val="9"/>
        </w:numPr>
      </w:pPr>
      <w:r w:rsidRPr="00C63EF4">
        <w:t xml:space="preserve">Prawo wyborcze, </w:t>
      </w:r>
    </w:p>
    <w:p w14:paraId="41CABC91" w14:textId="63196F83" w:rsidR="00C63EF4" w:rsidRPr="00C63EF4" w:rsidRDefault="00C63EF4" w:rsidP="00C63EF4">
      <w:pPr>
        <w:pStyle w:val="Default"/>
        <w:numPr>
          <w:ilvl w:val="0"/>
          <w:numId w:val="9"/>
        </w:numPr>
      </w:pPr>
      <w:r w:rsidRPr="00C63EF4">
        <w:t xml:space="preserve">biografistyka historycznoprawna, </w:t>
      </w:r>
    </w:p>
    <w:p w14:paraId="19B0CC97" w14:textId="61D7F205" w:rsidR="00C63EF4" w:rsidRPr="00C63EF4" w:rsidRDefault="00C63EF4" w:rsidP="00C63EF4">
      <w:pPr>
        <w:pStyle w:val="Default"/>
        <w:numPr>
          <w:ilvl w:val="0"/>
          <w:numId w:val="9"/>
        </w:numPr>
      </w:pPr>
      <w:r w:rsidRPr="00C63EF4">
        <w:t xml:space="preserve">Prawo informatyczne i </w:t>
      </w:r>
      <w:proofErr w:type="spellStart"/>
      <w:r w:rsidRPr="00C63EF4">
        <w:t>geoinformacyjne</w:t>
      </w:r>
      <w:proofErr w:type="spellEnd"/>
      <w:r w:rsidRPr="00C63EF4">
        <w:t xml:space="preserve">, </w:t>
      </w:r>
    </w:p>
    <w:p w14:paraId="2EA57308" w14:textId="346C8634" w:rsidR="00C63EF4" w:rsidRPr="00C63EF4" w:rsidRDefault="00C63EF4" w:rsidP="00C63EF4">
      <w:pPr>
        <w:pStyle w:val="Default"/>
        <w:numPr>
          <w:ilvl w:val="0"/>
          <w:numId w:val="9"/>
        </w:numPr>
      </w:pPr>
      <w:r w:rsidRPr="00C63EF4">
        <w:t xml:space="preserve">Prawo nieruchomości, </w:t>
      </w:r>
    </w:p>
    <w:p w14:paraId="1C3AB9E6" w14:textId="4265514E" w:rsidR="00C63EF4" w:rsidRPr="00C63EF4" w:rsidRDefault="00C63EF4" w:rsidP="00C63EF4">
      <w:pPr>
        <w:pStyle w:val="Default"/>
        <w:numPr>
          <w:ilvl w:val="0"/>
          <w:numId w:val="9"/>
        </w:numPr>
      </w:pPr>
      <w:r w:rsidRPr="00C63EF4">
        <w:t xml:space="preserve">Prawo cywilne (zagadnienia ogólne, prawo rzeczowe, prawo zobowiązań, prawo spadkowe), </w:t>
      </w:r>
    </w:p>
    <w:p w14:paraId="13FA64AE" w14:textId="43ED0410" w:rsidR="00C63EF4" w:rsidRPr="00C63EF4" w:rsidRDefault="00C63EF4" w:rsidP="00C63EF4">
      <w:pPr>
        <w:pStyle w:val="Default"/>
        <w:numPr>
          <w:ilvl w:val="0"/>
          <w:numId w:val="9"/>
        </w:numPr>
      </w:pPr>
      <w:r w:rsidRPr="00C63EF4">
        <w:t xml:space="preserve">Prawo rodzinne i opiekuńcze, </w:t>
      </w:r>
    </w:p>
    <w:p w14:paraId="07F51C90" w14:textId="76C1B4C6" w:rsidR="00C63EF4" w:rsidRPr="00C63EF4" w:rsidRDefault="00C63EF4" w:rsidP="00C63EF4">
      <w:pPr>
        <w:pStyle w:val="Default"/>
        <w:numPr>
          <w:ilvl w:val="0"/>
          <w:numId w:val="9"/>
        </w:numPr>
      </w:pPr>
      <w:r w:rsidRPr="00C63EF4">
        <w:t xml:space="preserve">Postępowanie cywilne, </w:t>
      </w:r>
    </w:p>
    <w:p w14:paraId="61558060" w14:textId="0040FD67" w:rsidR="00C63EF4" w:rsidRPr="00C63EF4" w:rsidRDefault="00C63EF4" w:rsidP="00C63EF4">
      <w:pPr>
        <w:pStyle w:val="Default"/>
        <w:numPr>
          <w:ilvl w:val="0"/>
          <w:numId w:val="9"/>
        </w:numPr>
      </w:pPr>
      <w:r w:rsidRPr="00C63EF4">
        <w:t xml:space="preserve">Postępowanie egzekucyjne, </w:t>
      </w:r>
    </w:p>
    <w:p w14:paraId="282AC854" w14:textId="58461A6E" w:rsidR="00C63EF4" w:rsidRPr="00C63EF4" w:rsidRDefault="00C63EF4" w:rsidP="00C63EF4">
      <w:pPr>
        <w:pStyle w:val="Default"/>
        <w:numPr>
          <w:ilvl w:val="0"/>
          <w:numId w:val="9"/>
        </w:numPr>
      </w:pPr>
      <w:r w:rsidRPr="00C63EF4">
        <w:t xml:space="preserve">Prawo karne, </w:t>
      </w:r>
    </w:p>
    <w:p w14:paraId="0C54161C" w14:textId="1470C8C7" w:rsidR="00C63EF4" w:rsidRPr="00C63EF4" w:rsidRDefault="00C63EF4" w:rsidP="00C63EF4">
      <w:pPr>
        <w:pStyle w:val="Default"/>
        <w:numPr>
          <w:ilvl w:val="0"/>
          <w:numId w:val="9"/>
        </w:numPr>
      </w:pPr>
      <w:r w:rsidRPr="00C63EF4">
        <w:t xml:space="preserve">Postępowanie karne, </w:t>
      </w:r>
    </w:p>
    <w:p w14:paraId="10E0F09D" w14:textId="45D341D9" w:rsidR="00C63EF4" w:rsidRPr="00C63EF4" w:rsidRDefault="00C63EF4" w:rsidP="00C63EF4">
      <w:pPr>
        <w:pStyle w:val="Default"/>
        <w:numPr>
          <w:ilvl w:val="0"/>
          <w:numId w:val="9"/>
        </w:numPr>
      </w:pPr>
      <w:r w:rsidRPr="00C63EF4">
        <w:t xml:space="preserve">Prawo wykroczeń, </w:t>
      </w:r>
    </w:p>
    <w:p w14:paraId="3AE8674C" w14:textId="617D462F" w:rsidR="00C63EF4" w:rsidRPr="00C63EF4" w:rsidRDefault="00C63EF4" w:rsidP="00C63EF4">
      <w:pPr>
        <w:pStyle w:val="Default"/>
        <w:numPr>
          <w:ilvl w:val="0"/>
          <w:numId w:val="9"/>
        </w:numPr>
      </w:pPr>
      <w:r w:rsidRPr="00C63EF4">
        <w:t xml:space="preserve">Postępowanie w sprawach o wykroczenia, </w:t>
      </w:r>
    </w:p>
    <w:p w14:paraId="35F77E0F" w14:textId="021FC840" w:rsidR="00C63EF4" w:rsidRPr="00C63EF4" w:rsidRDefault="00C63EF4" w:rsidP="00C63EF4">
      <w:pPr>
        <w:pStyle w:val="Default"/>
        <w:numPr>
          <w:ilvl w:val="0"/>
          <w:numId w:val="9"/>
        </w:numPr>
      </w:pPr>
      <w:r w:rsidRPr="00C63EF4">
        <w:t xml:space="preserve">Kryminalistyka, </w:t>
      </w:r>
    </w:p>
    <w:p w14:paraId="72ABD47F" w14:textId="1851FECB" w:rsidR="00C63EF4" w:rsidRPr="00C63EF4" w:rsidRDefault="00C63EF4" w:rsidP="00C63EF4">
      <w:pPr>
        <w:pStyle w:val="Default"/>
        <w:numPr>
          <w:ilvl w:val="0"/>
          <w:numId w:val="9"/>
        </w:numPr>
      </w:pPr>
      <w:r w:rsidRPr="00C63EF4">
        <w:t xml:space="preserve">Taktyka kryminalistyczna, </w:t>
      </w:r>
    </w:p>
    <w:p w14:paraId="450409A4" w14:textId="1CA8666D" w:rsidR="00C63EF4" w:rsidRPr="00C63EF4" w:rsidRDefault="00C63EF4" w:rsidP="00C63EF4">
      <w:pPr>
        <w:pStyle w:val="Default"/>
        <w:numPr>
          <w:ilvl w:val="0"/>
          <w:numId w:val="9"/>
        </w:numPr>
      </w:pPr>
      <w:r w:rsidRPr="00C63EF4">
        <w:t xml:space="preserve">Technika kryminalistyczna, </w:t>
      </w:r>
    </w:p>
    <w:p w14:paraId="46F2BC02" w14:textId="036E2251" w:rsidR="00C63EF4" w:rsidRPr="00C63EF4" w:rsidRDefault="00C63EF4" w:rsidP="00C63EF4">
      <w:pPr>
        <w:pStyle w:val="Default"/>
        <w:numPr>
          <w:ilvl w:val="0"/>
          <w:numId w:val="9"/>
        </w:numPr>
      </w:pPr>
      <w:r w:rsidRPr="00C63EF4">
        <w:t xml:space="preserve">Psychologia kryminalistyczna, </w:t>
      </w:r>
    </w:p>
    <w:p w14:paraId="692373FD" w14:textId="3327322D" w:rsidR="00C63EF4" w:rsidRPr="00C63EF4" w:rsidRDefault="00C63EF4" w:rsidP="00C63EF4">
      <w:pPr>
        <w:pStyle w:val="Default"/>
        <w:numPr>
          <w:ilvl w:val="0"/>
          <w:numId w:val="9"/>
        </w:numPr>
      </w:pPr>
      <w:r w:rsidRPr="00C63EF4">
        <w:t xml:space="preserve">Czynności procesowo-kryminalistyczne, </w:t>
      </w:r>
    </w:p>
    <w:p w14:paraId="102593E5" w14:textId="01BCBD65" w:rsidR="00C63EF4" w:rsidRPr="00C63EF4" w:rsidRDefault="00C63EF4" w:rsidP="00C63EF4">
      <w:pPr>
        <w:pStyle w:val="Default"/>
        <w:numPr>
          <w:ilvl w:val="0"/>
          <w:numId w:val="9"/>
        </w:numPr>
      </w:pPr>
      <w:r w:rsidRPr="00C63EF4">
        <w:t xml:space="preserve">Polskie prawo parlamentarne, </w:t>
      </w:r>
    </w:p>
    <w:p w14:paraId="0CA769A6" w14:textId="40BA8563" w:rsidR="00C63EF4" w:rsidRPr="00C63EF4" w:rsidRDefault="00C63EF4" w:rsidP="00C63EF4">
      <w:pPr>
        <w:pStyle w:val="Default"/>
        <w:numPr>
          <w:ilvl w:val="0"/>
          <w:numId w:val="9"/>
        </w:numPr>
      </w:pPr>
      <w:r w:rsidRPr="00C63EF4">
        <w:t xml:space="preserve">Kryminologia, </w:t>
      </w:r>
    </w:p>
    <w:p w14:paraId="0D8CB44A" w14:textId="4E9BFB90" w:rsidR="00C63EF4" w:rsidRPr="00C63EF4" w:rsidRDefault="00C63EF4" w:rsidP="00C63EF4">
      <w:pPr>
        <w:pStyle w:val="Default"/>
        <w:numPr>
          <w:ilvl w:val="0"/>
          <w:numId w:val="9"/>
        </w:numPr>
      </w:pPr>
      <w:r w:rsidRPr="00C63EF4">
        <w:t xml:space="preserve">Postępowanie w sprawach nieletnich, </w:t>
      </w:r>
    </w:p>
    <w:p w14:paraId="69ED2A16" w14:textId="510E9090" w:rsidR="00C63EF4" w:rsidRPr="00C63EF4" w:rsidRDefault="00C63EF4" w:rsidP="00C63EF4">
      <w:pPr>
        <w:pStyle w:val="Default"/>
        <w:numPr>
          <w:ilvl w:val="0"/>
          <w:numId w:val="9"/>
        </w:numPr>
      </w:pPr>
      <w:r w:rsidRPr="00C63EF4">
        <w:t xml:space="preserve">Historia prawa (powszechna i Polski), </w:t>
      </w:r>
    </w:p>
    <w:p w14:paraId="4A747877" w14:textId="36CCC891" w:rsidR="00C63EF4" w:rsidRPr="00C63EF4" w:rsidRDefault="00C63EF4" w:rsidP="00C63EF4">
      <w:pPr>
        <w:pStyle w:val="Default"/>
        <w:numPr>
          <w:ilvl w:val="0"/>
          <w:numId w:val="9"/>
        </w:numPr>
      </w:pPr>
      <w:r w:rsidRPr="00C63EF4">
        <w:t xml:space="preserve">Historia ustroju (powszechna i Polski), </w:t>
      </w:r>
    </w:p>
    <w:p w14:paraId="713E4B56" w14:textId="69373DDC" w:rsidR="00C63EF4" w:rsidRPr="00C63EF4" w:rsidRDefault="00C63EF4" w:rsidP="00C63EF4">
      <w:pPr>
        <w:pStyle w:val="Default"/>
        <w:numPr>
          <w:ilvl w:val="0"/>
          <w:numId w:val="9"/>
        </w:numPr>
      </w:pPr>
      <w:r w:rsidRPr="00C63EF4">
        <w:t xml:space="preserve">Prawo rolne, </w:t>
      </w:r>
    </w:p>
    <w:p w14:paraId="7DDD27D6" w14:textId="074D234D" w:rsidR="00C63EF4" w:rsidRPr="00C63EF4" w:rsidRDefault="00C63EF4" w:rsidP="00C63EF4">
      <w:pPr>
        <w:pStyle w:val="Default"/>
        <w:numPr>
          <w:ilvl w:val="0"/>
          <w:numId w:val="9"/>
        </w:numPr>
      </w:pPr>
      <w:r w:rsidRPr="00C63EF4">
        <w:t xml:space="preserve">Prawo ochrony środowiska, </w:t>
      </w:r>
    </w:p>
    <w:p w14:paraId="284E37DA" w14:textId="354FF68C" w:rsidR="00C63EF4" w:rsidRPr="00C63EF4" w:rsidRDefault="00C63EF4" w:rsidP="00C63EF4">
      <w:pPr>
        <w:pStyle w:val="Default"/>
        <w:numPr>
          <w:ilvl w:val="0"/>
          <w:numId w:val="9"/>
        </w:numPr>
      </w:pPr>
      <w:r w:rsidRPr="00C63EF4">
        <w:t xml:space="preserve">Prawo gospodarcze i handlowe, </w:t>
      </w:r>
    </w:p>
    <w:p w14:paraId="5BC16A74" w14:textId="57B22DD4" w:rsidR="00C63EF4" w:rsidRPr="00C63EF4" w:rsidRDefault="00C63EF4" w:rsidP="00C63EF4">
      <w:pPr>
        <w:pStyle w:val="Default"/>
        <w:numPr>
          <w:ilvl w:val="0"/>
          <w:numId w:val="9"/>
        </w:numPr>
      </w:pPr>
      <w:r w:rsidRPr="00C63EF4">
        <w:t xml:space="preserve">Prawo spółek, </w:t>
      </w:r>
    </w:p>
    <w:p w14:paraId="261DD030" w14:textId="6994F71A" w:rsidR="00C63EF4" w:rsidRPr="00C63EF4" w:rsidRDefault="00C63EF4" w:rsidP="00C63EF4">
      <w:pPr>
        <w:pStyle w:val="Default"/>
        <w:numPr>
          <w:ilvl w:val="0"/>
          <w:numId w:val="9"/>
        </w:numPr>
      </w:pPr>
      <w:r w:rsidRPr="00C63EF4">
        <w:t xml:space="preserve">Prawo zamówień publicznych, </w:t>
      </w:r>
    </w:p>
    <w:p w14:paraId="60C8986D" w14:textId="12D89F87" w:rsidR="00C63EF4" w:rsidRPr="00C63EF4" w:rsidRDefault="00C63EF4" w:rsidP="00C63EF4">
      <w:pPr>
        <w:pStyle w:val="Default"/>
        <w:numPr>
          <w:ilvl w:val="0"/>
          <w:numId w:val="9"/>
        </w:numPr>
      </w:pPr>
      <w:r w:rsidRPr="00C63EF4">
        <w:t xml:space="preserve">Prawo oświatowe, </w:t>
      </w:r>
    </w:p>
    <w:p w14:paraId="0A8C8962" w14:textId="1B6CB3EB" w:rsidR="00C63EF4" w:rsidRPr="00C63EF4" w:rsidRDefault="00C63EF4" w:rsidP="00C63EF4">
      <w:pPr>
        <w:pStyle w:val="Default"/>
        <w:numPr>
          <w:ilvl w:val="0"/>
          <w:numId w:val="9"/>
        </w:numPr>
      </w:pPr>
      <w:r w:rsidRPr="00C63EF4">
        <w:t xml:space="preserve">Prawo nauki i szkolnictwa wyższego, </w:t>
      </w:r>
    </w:p>
    <w:p w14:paraId="4C7F2AC6" w14:textId="343F08DA" w:rsidR="00C63EF4" w:rsidRPr="00C63EF4" w:rsidRDefault="00C63EF4" w:rsidP="00C63EF4">
      <w:pPr>
        <w:pStyle w:val="Default"/>
        <w:numPr>
          <w:ilvl w:val="0"/>
          <w:numId w:val="9"/>
        </w:numPr>
      </w:pPr>
      <w:r w:rsidRPr="00C63EF4">
        <w:lastRenderedPageBreak/>
        <w:t xml:space="preserve">Prawo pomocy społecznej, </w:t>
      </w:r>
    </w:p>
    <w:p w14:paraId="4598D448" w14:textId="71435BCC" w:rsidR="00C63EF4" w:rsidRPr="00C63EF4" w:rsidRDefault="00C63EF4" w:rsidP="00C63EF4">
      <w:pPr>
        <w:pStyle w:val="Default"/>
        <w:numPr>
          <w:ilvl w:val="0"/>
          <w:numId w:val="9"/>
        </w:numPr>
      </w:pPr>
      <w:r w:rsidRPr="00C63EF4">
        <w:t xml:space="preserve">Doktryny polityczne i prawne (w tym wybitne postaci polskiej doktryny prawa konstytucyjnego i administracyjnego oraz ich zaangażowanie w praktykę konstytucyjną i administracyjną po odzyskaniu niepodległości), </w:t>
      </w:r>
    </w:p>
    <w:p w14:paraId="1314ACA5" w14:textId="4025A1B0" w:rsidR="00C63EF4" w:rsidRPr="00C63EF4" w:rsidRDefault="00C63EF4" w:rsidP="00C63EF4">
      <w:pPr>
        <w:pStyle w:val="Default"/>
        <w:numPr>
          <w:ilvl w:val="0"/>
          <w:numId w:val="9"/>
        </w:numPr>
      </w:pPr>
      <w:r w:rsidRPr="00C63EF4">
        <w:t xml:space="preserve">Prawo medyczne, </w:t>
      </w:r>
    </w:p>
    <w:p w14:paraId="1B2FEB4B" w14:textId="7EB8AB16" w:rsidR="00C63EF4" w:rsidRPr="00C63EF4" w:rsidRDefault="00C63EF4" w:rsidP="00C63EF4">
      <w:pPr>
        <w:pStyle w:val="Default"/>
        <w:numPr>
          <w:ilvl w:val="0"/>
          <w:numId w:val="9"/>
        </w:numPr>
      </w:pPr>
      <w:r w:rsidRPr="00C63EF4">
        <w:t xml:space="preserve">Prawa człowieka, </w:t>
      </w:r>
    </w:p>
    <w:p w14:paraId="18625C50" w14:textId="0D885625" w:rsidR="00C63EF4" w:rsidRPr="00C63EF4" w:rsidRDefault="00C63EF4" w:rsidP="00C63EF4">
      <w:pPr>
        <w:pStyle w:val="Default"/>
        <w:numPr>
          <w:ilvl w:val="0"/>
          <w:numId w:val="9"/>
        </w:numPr>
      </w:pPr>
      <w:r w:rsidRPr="00C63EF4">
        <w:t xml:space="preserve">Prawo międzynarodowe publiczne, </w:t>
      </w:r>
    </w:p>
    <w:p w14:paraId="107C2828" w14:textId="425D7354" w:rsidR="00C63EF4" w:rsidRPr="00C63EF4" w:rsidRDefault="00C63EF4" w:rsidP="00C63EF4">
      <w:pPr>
        <w:pStyle w:val="Default"/>
        <w:numPr>
          <w:ilvl w:val="0"/>
          <w:numId w:val="9"/>
        </w:numPr>
      </w:pPr>
      <w:r w:rsidRPr="00C63EF4">
        <w:t xml:space="preserve">Prawo międzynarodowe prywatne, </w:t>
      </w:r>
    </w:p>
    <w:p w14:paraId="061D37C3" w14:textId="161E2599" w:rsidR="00C63EF4" w:rsidRPr="00C63EF4" w:rsidRDefault="00C63EF4" w:rsidP="00C63EF4">
      <w:pPr>
        <w:pStyle w:val="Default"/>
        <w:numPr>
          <w:ilvl w:val="0"/>
          <w:numId w:val="9"/>
        </w:numPr>
      </w:pPr>
      <w:r w:rsidRPr="00C63EF4">
        <w:t xml:space="preserve">Prawo europejskie (w tym praw Unii Europejskiej), </w:t>
      </w:r>
    </w:p>
    <w:p w14:paraId="29F0F448" w14:textId="1D952E62" w:rsidR="00C63EF4" w:rsidRPr="00C63EF4" w:rsidRDefault="00C63EF4" w:rsidP="00C63EF4">
      <w:pPr>
        <w:pStyle w:val="Default"/>
        <w:numPr>
          <w:ilvl w:val="0"/>
          <w:numId w:val="9"/>
        </w:numPr>
      </w:pPr>
      <w:r w:rsidRPr="00C63EF4">
        <w:t xml:space="preserve">Prawo finansowe, </w:t>
      </w:r>
    </w:p>
    <w:p w14:paraId="1BD829BA" w14:textId="7F212A3B" w:rsidR="00C63EF4" w:rsidRPr="00C63EF4" w:rsidRDefault="00C63EF4" w:rsidP="00C63EF4">
      <w:pPr>
        <w:pStyle w:val="Default"/>
        <w:numPr>
          <w:ilvl w:val="0"/>
          <w:numId w:val="9"/>
        </w:numPr>
      </w:pPr>
      <w:r w:rsidRPr="00C63EF4">
        <w:t xml:space="preserve">Prawo podatkowe, </w:t>
      </w:r>
    </w:p>
    <w:p w14:paraId="4EC5878E" w14:textId="365E2853" w:rsidR="00C63EF4" w:rsidRPr="00C63EF4" w:rsidRDefault="00C63EF4" w:rsidP="00C63EF4">
      <w:pPr>
        <w:pStyle w:val="Default"/>
        <w:numPr>
          <w:ilvl w:val="0"/>
          <w:numId w:val="9"/>
        </w:numPr>
      </w:pPr>
      <w:r w:rsidRPr="00C63EF4">
        <w:t xml:space="preserve">Prawo pracy, </w:t>
      </w:r>
    </w:p>
    <w:p w14:paraId="0AEE3B44" w14:textId="553DBA9D" w:rsidR="00C63EF4" w:rsidRPr="00C63EF4" w:rsidRDefault="00C63EF4" w:rsidP="00C63EF4">
      <w:pPr>
        <w:pStyle w:val="Default"/>
        <w:numPr>
          <w:ilvl w:val="0"/>
          <w:numId w:val="9"/>
        </w:numPr>
      </w:pPr>
      <w:r w:rsidRPr="00C63EF4">
        <w:t xml:space="preserve">Inne, ustalone z promotorem (np. prawo w turystyce, prawo w logistyce itd.). </w:t>
      </w:r>
    </w:p>
    <w:p w14:paraId="706449A9" w14:textId="77777777" w:rsidR="00C63EF4" w:rsidRPr="00C63EF4" w:rsidRDefault="00C63EF4" w:rsidP="00C63EF4">
      <w:pPr>
        <w:pStyle w:val="Default"/>
      </w:pPr>
    </w:p>
    <w:p w14:paraId="526ACDCE" w14:textId="77777777" w:rsidR="00C63EF4" w:rsidRPr="00C63EF4" w:rsidRDefault="00C63EF4" w:rsidP="00C63EF4">
      <w:pPr>
        <w:pStyle w:val="Default"/>
      </w:pPr>
      <w:r w:rsidRPr="00C63EF4">
        <w:t xml:space="preserve">3. Postępowanie rekrutacyjne przeprowadzane jest w formie konkursu, w którym ocenie punktowej podlegają: </w:t>
      </w:r>
    </w:p>
    <w:p w14:paraId="666649F3" w14:textId="77777777" w:rsidR="00C63EF4" w:rsidRPr="00C63EF4" w:rsidRDefault="00C63EF4" w:rsidP="00C63EF4">
      <w:pPr>
        <w:pStyle w:val="Default"/>
      </w:pPr>
      <w:r w:rsidRPr="00C63EF4">
        <w:t xml:space="preserve">a) Projekt badawczy (0-15 pkt.) zgłaszany przez kandydata, który może być w przyszłości tematem jego pracy doktorskiej. Projekt powinien być napisany w języku polskim lub angielskim i mieć objętość nie mniejszą niż 12 tys. oraz nie większą niż 22 tys. znaków ze spacjami (nie wliczając bibliografii). Projekt ocenia dwóch recenzentów wyznaczonych przez Przewodniczącego Komisji Rekrutacyjnej spośród pracowników naukowych posiadających uprawnienia do promowania doktorów reprezentujących dyscyplinę naukową, w której oferowany jest projekt badawczy. </w:t>
      </w:r>
    </w:p>
    <w:p w14:paraId="7D2FE19D" w14:textId="77777777" w:rsidR="00C63EF4" w:rsidRPr="00C63EF4" w:rsidRDefault="00C63EF4" w:rsidP="00C63EF4">
      <w:pPr>
        <w:pStyle w:val="Default"/>
      </w:pPr>
      <w:r w:rsidRPr="00C63EF4">
        <w:t xml:space="preserve">Końcową ocenę projektu stanowi średnia punktów przyznanych przez każdego z recenzentów w następujących kategoriach: </w:t>
      </w:r>
    </w:p>
    <w:p w14:paraId="30EF4B48" w14:textId="3973F95D" w:rsidR="00C63EF4" w:rsidRPr="00C63EF4" w:rsidRDefault="00C63EF4" w:rsidP="00C63EF4">
      <w:pPr>
        <w:pStyle w:val="Default"/>
        <w:numPr>
          <w:ilvl w:val="0"/>
          <w:numId w:val="9"/>
        </w:numPr>
      </w:pPr>
      <w:r w:rsidRPr="00C63EF4">
        <w:t xml:space="preserve">sformułowanie problematyki badawczej – 0–3 pkt., </w:t>
      </w:r>
    </w:p>
    <w:p w14:paraId="6727DDC0" w14:textId="313240E0" w:rsidR="00C63EF4" w:rsidRPr="00C63EF4" w:rsidRDefault="00C63EF4" w:rsidP="00C63EF4">
      <w:pPr>
        <w:pStyle w:val="Default"/>
        <w:numPr>
          <w:ilvl w:val="0"/>
          <w:numId w:val="9"/>
        </w:numPr>
      </w:pPr>
      <w:r w:rsidRPr="00C63EF4">
        <w:t xml:space="preserve">znajomość aktualnego stanu badań – 0–3 pkt., </w:t>
      </w:r>
    </w:p>
    <w:p w14:paraId="7F72EB5C" w14:textId="6FEF8DEA" w:rsidR="00C63EF4" w:rsidRPr="00C63EF4" w:rsidRDefault="00C63EF4" w:rsidP="00C63EF4">
      <w:pPr>
        <w:pStyle w:val="Default"/>
        <w:numPr>
          <w:ilvl w:val="0"/>
          <w:numId w:val="9"/>
        </w:numPr>
      </w:pPr>
      <w:r w:rsidRPr="00C63EF4">
        <w:t xml:space="preserve">proponowana metodologia – 0–3 pkt., </w:t>
      </w:r>
    </w:p>
    <w:p w14:paraId="76BC15BD" w14:textId="54244138" w:rsidR="00C63EF4" w:rsidRPr="00C63EF4" w:rsidRDefault="00C63EF4" w:rsidP="00C63EF4">
      <w:pPr>
        <w:pStyle w:val="Default"/>
        <w:numPr>
          <w:ilvl w:val="0"/>
          <w:numId w:val="9"/>
        </w:numPr>
      </w:pPr>
      <w:r w:rsidRPr="00C63EF4">
        <w:t xml:space="preserve">nowatorstwo i wartość poznawcza – 0–3 pkt., </w:t>
      </w:r>
    </w:p>
    <w:p w14:paraId="289AF477" w14:textId="0DE6DAE3" w:rsidR="00C63EF4" w:rsidRPr="00C63EF4" w:rsidRDefault="00C63EF4" w:rsidP="00C63EF4">
      <w:pPr>
        <w:pStyle w:val="Default"/>
        <w:numPr>
          <w:ilvl w:val="0"/>
          <w:numId w:val="9"/>
        </w:numPr>
      </w:pPr>
      <w:r w:rsidRPr="00C63EF4">
        <w:t xml:space="preserve">możliwości realizacji proponowanego projektu badawczego – 0–3 pkt. </w:t>
      </w:r>
    </w:p>
    <w:p w14:paraId="5BA135FF" w14:textId="77777777" w:rsidR="00C63EF4" w:rsidRPr="00C63EF4" w:rsidRDefault="00C63EF4" w:rsidP="00C63EF4">
      <w:pPr>
        <w:pStyle w:val="Default"/>
      </w:pPr>
    </w:p>
    <w:p w14:paraId="1388926F" w14:textId="6C67EC43" w:rsidR="00C63EF4" w:rsidRPr="00C63EF4" w:rsidRDefault="00C63EF4" w:rsidP="00C63EF4">
      <w:pPr>
        <w:pStyle w:val="Default"/>
      </w:pPr>
      <w:r w:rsidRPr="00C63EF4">
        <w:t xml:space="preserve">b) Rozmowa kwalifikacyjna (0-20 pkt.), której celem jest sprawdzenie przygotowania i zainteresowań naukowych kandydata w oparciu o złożony projekt badawczy oraz wiedzy ogólnej z danej dyscypliny naukowej. W trakcie rozmowy nie należy przedstawiać całego projektu (Komisja go zna), a jedynie przekonać do niego Komisję. Rozmowa ma także na celu ustalenie, czy kandydat podjął wcześniej współpracę z osobą, która może być jego promotorem. Rozmowa może być przeprowadzona w języku polskim lub angielskim. Końcową ocenę rozmowy kwalifikacyjnej stanowi średnia punktów przyznanych przez każdego z członków Komisji w poszczególnych kategoriach: </w:t>
      </w:r>
    </w:p>
    <w:p w14:paraId="79665C46" w14:textId="3E0677F6" w:rsidR="00C63EF4" w:rsidRPr="00C63EF4" w:rsidRDefault="00C63EF4" w:rsidP="00C63EF4">
      <w:pPr>
        <w:pStyle w:val="Default"/>
        <w:numPr>
          <w:ilvl w:val="0"/>
          <w:numId w:val="9"/>
        </w:numPr>
      </w:pPr>
      <w:r w:rsidRPr="00C63EF4">
        <w:t xml:space="preserve">umiejętność ustnej prezentacji projektu badawczego – 0–5 pkt., </w:t>
      </w:r>
    </w:p>
    <w:p w14:paraId="66EEF339" w14:textId="1934F31C" w:rsidR="00C63EF4" w:rsidRPr="00C63EF4" w:rsidRDefault="00C63EF4" w:rsidP="00C63EF4">
      <w:pPr>
        <w:pStyle w:val="Default"/>
        <w:numPr>
          <w:ilvl w:val="0"/>
          <w:numId w:val="9"/>
        </w:numPr>
      </w:pPr>
      <w:r w:rsidRPr="00C63EF4">
        <w:t xml:space="preserve">umiejętność uzasadnienia/obrony swojego projektu (przesłanek, celu badań, wybranej metodologii, oryginalności rozwiązania problemu badawczego) – 0–5 pkt., </w:t>
      </w:r>
    </w:p>
    <w:p w14:paraId="77F5AD0B" w14:textId="1F5F2B60" w:rsidR="00C63EF4" w:rsidRPr="00C63EF4" w:rsidRDefault="00C63EF4" w:rsidP="00C63EF4">
      <w:pPr>
        <w:pStyle w:val="Default"/>
        <w:numPr>
          <w:ilvl w:val="0"/>
          <w:numId w:val="9"/>
        </w:numPr>
      </w:pPr>
      <w:r w:rsidRPr="00C63EF4">
        <w:t xml:space="preserve">umiejętność prowadzenia dyskusji naukowej – 0–5 pkt., </w:t>
      </w:r>
    </w:p>
    <w:p w14:paraId="26FC68F2" w14:textId="210FD02D" w:rsidR="00C63EF4" w:rsidRPr="00C63EF4" w:rsidRDefault="00C63EF4" w:rsidP="00C63EF4">
      <w:pPr>
        <w:pStyle w:val="Default"/>
        <w:numPr>
          <w:ilvl w:val="0"/>
          <w:numId w:val="9"/>
        </w:numPr>
      </w:pPr>
      <w:r w:rsidRPr="00C63EF4">
        <w:t xml:space="preserve">ogólna wiedza w zakresie danej dyscypliny– 0–5 pkt. </w:t>
      </w:r>
    </w:p>
    <w:p w14:paraId="3C52DFC2" w14:textId="77777777" w:rsidR="00C63EF4" w:rsidRPr="00C63EF4" w:rsidRDefault="00C63EF4" w:rsidP="00C63EF4">
      <w:pPr>
        <w:pStyle w:val="Default"/>
      </w:pPr>
    </w:p>
    <w:p w14:paraId="525EF921" w14:textId="77777777" w:rsidR="00C63EF4" w:rsidRPr="00C63EF4" w:rsidRDefault="00C63EF4" w:rsidP="00C63EF4">
      <w:pPr>
        <w:pStyle w:val="Default"/>
      </w:pPr>
      <w:r w:rsidRPr="00C63EF4">
        <w:t xml:space="preserve">c) Ocena aktywności naukowej (0-7 pkt.) z ostatnich 5 lat: </w:t>
      </w:r>
    </w:p>
    <w:p w14:paraId="20885728" w14:textId="76B22111" w:rsidR="00C63EF4" w:rsidRPr="00C63EF4" w:rsidRDefault="00C63EF4" w:rsidP="00C63EF4">
      <w:pPr>
        <w:pStyle w:val="Default"/>
        <w:numPr>
          <w:ilvl w:val="0"/>
          <w:numId w:val="12"/>
        </w:numPr>
      </w:pPr>
      <w:r w:rsidRPr="00C63EF4">
        <w:lastRenderedPageBreak/>
        <w:t>publikacja (samodzielna lub we współautorstwie) w czasopiśmie naukowym za minimum 70 pkt, (</w:t>
      </w:r>
      <w:proofErr w:type="spellStart"/>
      <w:r w:rsidRPr="00C63EF4">
        <w:t>współ</w:t>
      </w:r>
      <w:proofErr w:type="spellEnd"/>
      <w:r w:rsidRPr="00C63EF4">
        <w:t xml:space="preserve">)autorstwo monografii, komentarza do ustawy – 0-2 pkt., </w:t>
      </w:r>
    </w:p>
    <w:p w14:paraId="29847026" w14:textId="2AAB7766" w:rsidR="00C63EF4" w:rsidRPr="00C63EF4" w:rsidRDefault="00C63EF4" w:rsidP="00C63EF4">
      <w:pPr>
        <w:pStyle w:val="Default"/>
        <w:numPr>
          <w:ilvl w:val="0"/>
          <w:numId w:val="12"/>
        </w:numPr>
      </w:pPr>
      <w:r w:rsidRPr="00C63EF4">
        <w:t>(</w:t>
      </w:r>
      <w:proofErr w:type="spellStart"/>
      <w:r w:rsidRPr="00C63EF4">
        <w:t>współ</w:t>
      </w:r>
      <w:proofErr w:type="spellEnd"/>
      <w:r w:rsidRPr="00C63EF4">
        <w:t>)autorstwo publikacji w czasopiśmie za mniej niż 70 pkt, (</w:t>
      </w:r>
      <w:proofErr w:type="spellStart"/>
      <w:r w:rsidRPr="00C63EF4">
        <w:t>współ</w:t>
      </w:r>
      <w:proofErr w:type="spellEnd"/>
      <w:r w:rsidRPr="00C63EF4">
        <w:t xml:space="preserve">)autorstwo systemu prawa lub rozdziału w monografii w wydawnictwie uwzględnionym w wykazie </w:t>
      </w:r>
      <w:proofErr w:type="spellStart"/>
      <w:r w:rsidRPr="00C63EF4">
        <w:t>MEiN</w:t>
      </w:r>
      <w:proofErr w:type="spellEnd"/>
      <w:r w:rsidRPr="00C63EF4">
        <w:t xml:space="preserve"> – 0-1 pkt., </w:t>
      </w:r>
    </w:p>
    <w:p w14:paraId="58CF3ABE" w14:textId="0F103F07" w:rsidR="00C63EF4" w:rsidRPr="00C63EF4" w:rsidRDefault="00C63EF4" w:rsidP="00C63EF4">
      <w:pPr>
        <w:pStyle w:val="Default"/>
        <w:numPr>
          <w:ilvl w:val="0"/>
          <w:numId w:val="12"/>
        </w:numPr>
      </w:pPr>
      <w:r w:rsidRPr="00C63EF4">
        <w:t xml:space="preserve">udział w konferencji naukowej (w tym o charakterze międzynarodowym) z wygłoszonym referatem – 0-1 pkt., </w:t>
      </w:r>
    </w:p>
    <w:p w14:paraId="210D7C2B" w14:textId="7D4EA124" w:rsidR="00C63EF4" w:rsidRPr="00C63EF4" w:rsidRDefault="00C63EF4" w:rsidP="00C63EF4">
      <w:pPr>
        <w:pStyle w:val="Default"/>
        <w:numPr>
          <w:ilvl w:val="0"/>
          <w:numId w:val="12"/>
        </w:numPr>
      </w:pPr>
      <w:r w:rsidRPr="00C63EF4">
        <w:t xml:space="preserve">staż krajowy, zagraniczny lub stypendialny– 0-1 pkt., </w:t>
      </w:r>
    </w:p>
    <w:p w14:paraId="1D613BBD" w14:textId="4C88EBB9" w:rsidR="00C63EF4" w:rsidRPr="00C63EF4" w:rsidRDefault="00C63EF4" w:rsidP="00C63EF4">
      <w:pPr>
        <w:pStyle w:val="Default"/>
        <w:numPr>
          <w:ilvl w:val="0"/>
          <w:numId w:val="12"/>
        </w:numPr>
      </w:pPr>
      <w:r w:rsidRPr="00C63EF4">
        <w:t xml:space="preserve">praca w kole naukowym, projekty naukowe zrealizowane w ramach działalności zawodowej – 0-1 pkt., </w:t>
      </w:r>
    </w:p>
    <w:p w14:paraId="363D8B64" w14:textId="3BC7E59C" w:rsidR="00C63EF4" w:rsidRPr="00C63EF4" w:rsidRDefault="00C63EF4" w:rsidP="00C63EF4">
      <w:pPr>
        <w:pStyle w:val="Default"/>
        <w:numPr>
          <w:ilvl w:val="0"/>
          <w:numId w:val="12"/>
        </w:numPr>
      </w:pPr>
      <w:r w:rsidRPr="00C63EF4">
        <w:t xml:space="preserve">nagrody lub wyróżnienia naukowe – 0-1pkt. </w:t>
      </w:r>
    </w:p>
    <w:p w14:paraId="72194AF9" w14:textId="77777777" w:rsidR="00C63EF4" w:rsidRPr="00C63EF4" w:rsidRDefault="00C63EF4" w:rsidP="00C63EF4">
      <w:pPr>
        <w:pStyle w:val="Default"/>
      </w:pPr>
    </w:p>
    <w:p w14:paraId="08B1BF0E" w14:textId="4F5E35E1" w:rsidR="00690DAB" w:rsidRPr="00C63EF4" w:rsidRDefault="00C63EF4" w:rsidP="00C63EF4">
      <w:pPr>
        <w:rPr>
          <w:sz w:val="24"/>
          <w:szCs w:val="24"/>
          <w:lang w:val="pl-PL"/>
        </w:rPr>
      </w:pPr>
      <w:r w:rsidRPr="00C63EF4">
        <w:rPr>
          <w:sz w:val="24"/>
          <w:szCs w:val="24"/>
          <w:lang w:val="pl-PL"/>
        </w:rPr>
        <w:t>Wymagane jest dołączenie odpowiednich zaświadczeń/potwierdzeń, a w przypadku publikacji -wydruk.</w:t>
      </w:r>
    </w:p>
    <w:sectPr w:rsidR="00690DAB" w:rsidRPr="00C63E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austina">
    <w:altName w:val="Calibri"/>
    <w:panose1 w:val="00000000000000000000"/>
    <w:charset w:val="00"/>
    <w:family w:val="swiss"/>
    <w:notTrueType/>
    <w:pitch w:val="default"/>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057F73"/>
    <w:multiLevelType w:val="hybridMultilevel"/>
    <w:tmpl w:val="56A2F64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2944127"/>
    <w:multiLevelType w:val="hybridMultilevel"/>
    <w:tmpl w:val="3EB4652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CF79B83"/>
    <w:multiLevelType w:val="hybridMultilevel"/>
    <w:tmpl w:val="CCC6C1F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751AD1"/>
    <w:multiLevelType w:val="hybridMultilevel"/>
    <w:tmpl w:val="F1BC54F4"/>
    <w:lvl w:ilvl="0" w:tplc="E496E02E">
      <w:numFmt w:val="bullet"/>
      <w:lvlText w:val="•"/>
      <w:lvlJc w:val="left"/>
      <w:pPr>
        <w:ind w:left="720" w:hanging="360"/>
      </w:pPr>
      <w:rPr>
        <w:rFonts w:ascii="Faustina" w:eastAsiaTheme="minorHAnsi" w:hAnsi="Faustina" w:cs="Fausti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DFA2839"/>
    <w:multiLevelType w:val="hybridMultilevel"/>
    <w:tmpl w:val="BC00BAE4"/>
    <w:lvl w:ilvl="0" w:tplc="E496E02E">
      <w:numFmt w:val="bullet"/>
      <w:lvlText w:val="•"/>
      <w:lvlJc w:val="left"/>
      <w:pPr>
        <w:ind w:left="720" w:hanging="360"/>
      </w:pPr>
      <w:rPr>
        <w:rFonts w:ascii="Faustina" w:eastAsiaTheme="minorHAnsi" w:hAnsi="Faustina" w:cs="Fausti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840532B"/>
    <w:multiLevelType w:val="hybridMultilevel"/>
    <w:tmpl w:val="21A6C5D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F5342A2"/>
    <w:multiLevelType w:val="hybridMultilevel"/>
    <w:tmpl w:val="1E34F098"/>
    <w:lvl w:ilvl="0" w:tplc="E496E02E">
      <w:numFmt w:val="bullet"/>
      <w:lvlText w:val="•"/>
      <w:lvlJc w:val="left"/>
      <w:pPr>
        <w:ind w:left="720" w:hanging="360"/>
      </w:pPr>
      <w:rPr>
        <w:rFonts w:ascii="Faustina" w:eastAsiaTheme="minorHAnsi" w:hAnsi="Faustina" w:cs="Fausti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2790001"/>
    <w:multiLevelType w:val="hybridMultilevel"/>
    <w:tmpl w:val="BD74A8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3C80AED"/>
    <w:multiLevelType w:val="hybridMultilevel"/>
    <w:tmpl w:val="1DCDEC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CFA7064"/>
    <w:multiLevelType w:val="hybridMultilevel"/>
    <w:tmpl w:val="EAB824FE"/>
    <w:lvl w:ilvl="0" w:tplc="E496E02E">
      <w:numFmt w:val="bullet"/>
      <w:lvlText w:val="•"/>
      <w:lvlJc w:val="left"/>
      <w:pPr>
        <w:ind w:left="720" w:hanging="360"/>
      </w:pPr>
      <w:rPr>
        <w:rFonts w:ascii="Faustina" w:eastAsiaTheme="minorHAnsi" w:hAnsi="Faustina" w:cs="Fausti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521384D"/>
    <w:multiLevelType w:val="hybridMultilevel"/>
    <w:tmpl w:val="3C3073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5D370E8"/>
    <w:multiLevelType w:val="hybridMultilevel"/>
    <w:tmpl w:val="DB4C7D10"/>
    <w:lvl w:ilvl="0" w:tplc="E496E02E">
      <w:numFmt w:val="bullet"/>
      <w:lvlText w:val="•"/>
      <w:lvlJc w:val="left"/>
      <w:pPr>
        <w:ind w:left="720" w:hanging="360"/>
      </w:pPr>
      <w:rPr>
        <w:rFonts w:ascii="Faustina" w:eastAsiaTheme="minorHAnsi" w:hAnsi="Faustina" w:cs="Fausti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8"/>
  </w:num>
  <w:num w:numId="6">
    <w:abstractNumId w:val="10"/>
  </w:num>
  <w:num w:numId="7">
    <w:abstractNumId w:val="7"/>
  </w:num>
  <w:num w:numId="8">
    <w:abstractNumId w:val="11"/>
  </w:num>
  <w:num w:numId="9">
    <w:abstractNumId w:val="9"/>
  </w:num>
  <w:num w:numId="10">
    <w:abstractNumId w:val="4"/>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0C6"/>
    <w:rsid w:val="00690DAB"/>
    <w:rsid w:val="00C63EF4"/>
    <w:rsid w:val="00FA30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087B9"/>
  <w15:chartTrackingRefBased/>
  <w15:docId w15:val="{53CA5F82-83E6-4F10-86DA-753CB7D73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63EF4"/>
    <w:pPr>
      <w:autoSpaceDE w:val="0"/>
      <w:autoSpaceDN w:val="0"/>
      <w:adjustRightInd w:val="0"/>
      <w:spacing w:after="0" w:line="240" w:lineRule="auto"/>
    </w:pPr>
    <w:rPr>
      <w:rFonts w:ascii="Faustina" w:hAnsi="Faustina" w:cs="Faus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704</Words>
  <Characters>4227</Characters>
  <Application>Microsoft Office Word</Application>
  <DocSecurity>0</DocSecurity>
  <Lines>35</Lines>
  <Paragraphs>9</Paragraphs>
  <ScaleCrop>false</ScaleCrop>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Leszczyńska</dc:creator>
  <cp:keywords/>
  <dc:description/>
  <cp:lastModifiedBy>Maria Leszczyńska</cp:lastModifiedBy>
  <cp:revision>2</cp:revision>
  <dcterms:created xsi:type="dcterms:W3CDTF">2026-02-04T09:03:00Z</dcterms:created>
  <dcterms:modified xsi:type="dcterms:W3CDTF">2026-02-04T09:05:00Z</dcterms:modified>
</cp:coreProperties>
</file>